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A1A" w:rsidRPr="00A56EC5" w:rsidRDefault="004F50F6" w:rsidP="00A56EC5">
      <w:pPr>
        <w:spacing w:after="0" w:line="276" w:lineRule="auto"/>
        <w:rPr>
          <w:rFonts w:ascii="Arial" w:hAnsi="Arial" w:cs="Arial"/>
          <w:b/>
          <w:color w:val="0070C0"/>
          <w:sz w:val="32"/>
        </w:rPr>
      </w:pPr>
      <w:r w:rsidRPr="00A56EC5">
        <w:rPr>
          <w:rFonts w:ascii="Arial" w:hAnsi="Arial" w:cs="Arial"/>
          <w:b/>
          <w:color w:val="0070C0"/>
          <w:sz w:val="32"/>
        </w:rPr>
        <w:t>FÖRDERBEDINGUNGEN</w:t>
      </w:r>
    </w:p>
    <w:p w:rsidR="004F50F6" w:rsidRPr="00A56EC5" w:rsidRDefault="004F50F6" w:rsidP="00A56EC5">
      <w:pPr>
        <w:spacing w:after="0" w:line="276" w:lineRule="auto"/>
        <w:rPr>
          <w:rFonts w:ascii="Arial" w:hAnsi="Arial" w:cs="Arial"/>
          <w:b/>
          <w:color w:val="0070C0"/>
          <w:sz w:val="32"/>
        </w:rPr>
      </w:pPr>
      <w:r w:rsidRPr="00A56EC5">
        <w:rPr>
          <w:rFonts w:ascii="Arial" w:hAnsi="Arial" w:cs="Arial"/>
          <w:b/>
          <w:color w:val="0070C0"/>
          <w:sz w:val="32"/>
        </w:rPr>
        <w:t>„</w:t>
      </w:r>
      <w:r w:rsidR="00956A0D">
        <w:rPr>
          <w:rFonts w:ascii="Arial" w:hAnsi="Arial" w:cs="Arial"/>
          <w:b/>
          <w:color w:val="0070C0"/>
          <w:sz w:val="32"/>
        </w:rPr>
        <w:t>Jugend-Budget</w:t>
      </w:r>
      <w:r w:rsidRPr="00A56EC5">
        <w:rPr>
          <w:rFonts w:ascii="Arial" w:hAnsi="Arial" w:cs="Arial"/>
          <w:b/>
          <w:color w:val="0070C0"/>
          <w:sz w:val="32"/>
        </w:rPr>
        <w:t xml:space="preserve"> – </w:t>
      </w:r>
      <w:r w:rsidR="00956A0D">
        <w:rPr>
          <w:rFonts w:ascii="Arial" w:hAnsi="Arial" w:cs="Arial"/>
          <w:b/>
          <w:color w:val="0070C0"/>
          <w:sz w:val="32"/>
        </w:rPr>
        <w:t>Wir für uns</w:t>
      </w:r>
      <w:r w:rsidRPr="00A56EC5">
        <w:rPr>
          <w:rFonts w:ascii="Arial" w:hAnsi="Arial" w:cs="Arial"/>
          <w:b/>
          <w:color w:val="0070C0"/>
          <w:sz w:val="32"/>
        </w:rPr>
        <w:t>“</w:t>
      </w:r>
    </w:p>
    <w:p w:rsidR="004F50F6" w:rsidRPr="004F50F6" w:rsidRDefault="004F50F6" w:rsidP="00A56EC5">
      <w:pPr>
        <w:spacing w:after="0" w:line="276" w:lineRule="auto"/>
        <w:rPr>
          <w:rFonts w:ascii="Arial" w:hAnsi="Arial" w:cs="Arial"/>
        </w:rPr>
      </w:pPr>
    </w:p>
    <w:p w:rsidR="00956A0D" w:rsidRPr="00956A0D" w:rsidRDefault="00956A0D" w:rsidP="00956A0D">
      <w:pPr>
        <w:spacing w:after="0"/>
        <w:rPr>
          <w:rFonts w:ascii="Arial" w:hAnsi="Arial" w:cs="Arial"/>
        </w:rPr>
      </w:pPr>
      <w:r w:rsidRPr="00956A0D">
        <w:rPr>
          <w:rFonts w:ascii="Arial" w:hAnsi="Arial" w:cs="Arial"/>
          <w:color w:val="000000" w:themeColor="text1"/>
        </w:rPr>
        <w:t xml:space="preserve">Unter dem Motto „Wir für Uns“ stellt der Landkreis Marburg-Biedenkopf 2024 zum dritten Mal ein „Jugend-Budget“ zur Verfügung. </w:t>
      </w:r>
      <w:r w:rsidRPr="00956A0D">
        <w:rPr>
          <w:rFonts w:ascii="Arial" w:hAnsi="Arial" w:cs="Arial"/>
        </w:rPr>
        <w:t>Das Budget unterstützt Projekte, welche die Teilhabe von Gestaltungsprozessen von jungen Menschen von 14 bis einschließlich 26</w:t>
      </w:r>
      <w:r w:rsidRPr="00956A0D">
        <w:rPr>
          <w:rFonts w:ascii="Arial" w:hAnsi="Arial" w:cs="Arial"/>
          <w:color w:val="FF0000"/>
        </w:rPr>
        <w:t xml:space="preserve"> </w:t>
      </w:r>
      <w:r w:rsidRPr="00956A0D">
        <w:rPr>
          <w:rFonts w:ascii="Arial" w:hAnsi="Arial" w:cs="Arial"/>
        </w:rPr>
        <w:t>Jahren stärken.</w:t>
      </w:r>
    </w:p>
    <w:p w:rsidR="004F50F6" w:rsidRPr="00956A0D" w:rsidRDefault="004F50F6" w:rsidP="00956A0D">
      <w:pPr>
        <w:spacing w:after="0" w:line="276" w:lineRule="auto"/>
        <w:rPr>
          <w:rFonts w:ascii="Arial" w:hAnsi="Arial" w:cs="Arial"/>
          <w:color w:val="000000" w:themeColor="text1"/>
        </w:rPr>
      </w:pPr>
    </w:p>
    <w:p w:rsidR="004F50F6" w:rsidRPr="004F50F6" w:rsidRDefault="004F50F6" w:rsidP="00A56EC5">
      <w:pPr>
        <w:spacing w:after="0" w:line="276" w:lineRule="auto"/>
        <w:rPr>
          <w:rFonts w:ascii="Arial" w:hAnsi="Arial" w:cs="Arial"/>
        </w:rPr>
      </w:pPr>
      <w:r w:rsidRPr="004F50F6">
        <w:rPr>
          <w:rFonts w:ascii="Arial" w:hAnsi="Arial" w:cs="Arial"/>
        </w:rPr>
        <w:t>Mit der Antragsstellung zur Förderung akzeptieren die Teilnehmenden die folgenden Förderbedingungen.</w:t>
      </w:r>
    </w:p>
    <w:p w:rsidR="004F50F6" w:rsidRDefault="004F50F6" w:rsidP="00A56EC5">
      <w:pPr>
        <w:spacing w:after="0" w:line="276" w:lineRule="auto"/>
        <w:rPr>
          <w:rFonts w:ascii="Arial" w:hAnsi="Arial" w:cs="Arial"/>
        </w:rPr>
      </w:pPr>
    </w:p>
    <w:tbl>
      <w:tblPr>
        <w:tblStyle w:val="Tabellenraster"/>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4"/>
        <w:gridCol w:w="108"/>
        <w:gridCol w:w="8392"/>
        <w:gridCol w:w="108"/>
        <w:gridCol w:w="83"/>
      </w:tblGrid>
      <w:tr w:rsidR="004F50F6" w:rsidTr="00956A0D">
        <w:trPr>
          <w:gridBefore w:val="1"/>
          <w:wBefore w:w="108" w:type="dxa"/>
        </w:trPr>
        <w:tc>
          <w:tcPr>
            <w:tcW w:w="562" w:type="dxa"/>
            <w:gridSpan w:val="2"/>
          </w:tcPr>
          <w:p w:rsidR="004F50F6" w:rsidRPr="007969C8" w:rsidRDefault="004F50F6" w:rsidP="00A56EC5">
            <w:pPr>
              <w:spacing w:line="276" w:lineRule="auto"/>
              <w:rPr>
                <w:rFonts w:ascii="Arial" w:hAnsi="Arial" w:cs="Arial"/>
                <w:b/>
              </w:rPr>
            </w:pPr>
            <w:r w:rsidRPr="007969C8">
              <w:rPr>
                <w:rFonts w:ascii="Arial" w:hAnsi="Arial" w:cs="Arial"/>
                <w:b/>
              </w:rPr>
              <w:t>§ 1</w:t>
            </w:r>
          </w:p>
        </w:tc>
        <w:tc>
          <w:tcPr>
            <w:tcW w:w="8583" w:type="dxa"/>
            <w:gridSpan w:val="3"/>
          </w:tcPr>
          <w:p w:rsidR="007969C8" w:rsidRDefault="004F50F6" w:rsidP="00A56EC5">
            <w:pPr>
              <w:spacing w:line="276" w:lineRule="auto"/>
              <w:rPr>
                <w:rFonts w:ascii="Arial" w:hAnsi="Arial" w:cs="Arial"/>
                <w:b/>
              </w:rPr>
            </w:pPr>
            <w:r w:rsidRPr="007969C8">
              <w:rPr>
                <w:rFonts w:ascii="Arial" w:hAnsi="Arial" w:cs="Arial"/>
                <w:b/>
              </w:rPr>
              <w:t>Gegenstand der Förderung</w:t>
            </w:r>
          </w:p>
          <w:p w:rsidR="002247B9" w:rsidRPr="007969C8" w:rsidRDefault="002247B9" w:rsidP="00A56EC5">
            <w:pPr>
              <w:spacing w:line="276" w:lineRule="auto"/>
              <w:rPr>
                <w:rFonts w:ascii="Arial" w:hAnsi="Arial" w:cs="Arial"/>
                <w:b/>
              </w:rPr>
            </w:pPr>
          </w:p>
        </w:tc>
      </w:tr>
      <w:tr w:rsidR="007969C8" w:rsidTr="00956A0D">
        <w:trPr>
          <w:gridAfter w:val="2"/>
          <w:wAfter w:w="191" w:type="dxa"/>
        </w:trPr>
        <w:tc>
          <w:tcPr>
            <w:tcW w:w="562" w:type="dxa"/>
            <w:gridSpan w:val="2"/>
          </w:tcPr>
          <w:p w:rsidR="007969C8" w:rsidRDefault="007969C8" w:rsidP="00A56EC5">
            <w:pPr>
              <w:spacing w:line="276" w:lineRule="auto"/>
              <w:rPr>
                <w:rFonts w:ascii="Arial" w:hAnsi="Arial" w:cs="Arial"/>
              </w:rPr>
            </w:pPr>
          </w:p>
        </w:tc>
        <w:tc>
          <w:tcPr>
            <w:tcW w:w="8500" w:type="dxa"/>
            <w:gridSpan w:val="2"/>
          </w:tcPr>
          <w:p w:rsidR="00956A0D" w:rsidRPr="00956A0D" w:rsidRDefault="00956A0D" w:rsidP="00853739">
            <w:pPr>
              <w:spacing w:line="276" w:lineRule="auto"/>
              <w:ind w:left="142"/>
              <w:rPr>
                <w:rFonts w:ascii="Arial" w:hAnsi="Arial" w:cs="Arial"/>
              </w:rPr>
            </w:pPr>
            <w:r w:rsidRPr="00956A0D">
              <w:rPr>
                <w:rFonts w:ascii="Arial" w:hAnsi="Arial" w:cs="Arial"/>
              </w:rPr>
              <w:t xml:space="preserve">Das „Jugend-Budget“ unterstützt Projekte </w:t>
            </w:r>
            <w:r w:rsidRPr="00956A0D">
              <w:rPr>
                <w:rFonts w:ascii="Arial" w:hAnsi="Arial" w:cs="Arial"/>
                <w:color w:val="000000" w:themeColor="text1"/>
              </w:rPr>
              <w:t xml:space="preserve">sowie </w:t>
            </w:r>
            <w:r w:rsidRPr="00956A0D">
              <w:rPr>
                <w:rFonts w:ascii="Arial" w:hAnsi="Arial" w:cs="Arial"/>
              </w:rPr>
              <w:t xml:space="preserve">Vorhaben, welche die Beteiligung an Gestaltungsprozessen von </w:t>
            </w:r>
            <w:r w:rsidRPr="00956A0D">
              <w:rPr>
                <w:rFonts w:ascii="Arial" w:hAnsi="Arial" w:cs="Arial"/>
                <w:color w:val="000000" w:themeColor="text1"/>
              </w:rPr>
              <w:t xml:space="preserve">Jugendlichen und </w:t>
            </w:r>
            <w:r w:rsidRPr="00956A0D">
              <w:rPr>
                <w:rFonts w:ascii="Arial" w:hAnsi="Arial" w:cs="Arial"/>
              </w:rPr>
              <w:t xml:space="preserve">jungen Menschen von 14 bis einschließlich </w:t>
            </w:r>
            <w:r w:rsidRPr="00956A0D">
              <w:rPr>
                <w:rFonts w:ascii="Arial" w:hAnsi="Arial" w:cs="Arial"/>
                <w:color w:val="000000" w:themeColor="text1"/>
              </w:rPr>
              <w:t xml:space="preserve">26 Jahren </w:t>
            </w:r>
            <w:r w:rsidRPr="00956A0D">
              <w:rPr>
                <w:rFonts w:ascii="Arial" w:hAnsi="Arial" w:cs="Arial"/>
              </w:rPr>
              <w:t>unterstützen und fördern. Die Projekte sollen nicht nur für junge Menschen gemacht, sondern gemeinsam mit diesen geplant, gestaltet und umgesetzt werden. Ziel ist es, jungen Menschen Erfahrungen der Selbstwirksamkeit zu ermöglichen.</w:t>
            </w:r>
          </w:p>
          <w:p w:rsidR="00956A0D" w:rsidRPr="00956A0D" w:rsidRDefault="00956A0D" w:rsidP="00853739">
            <w:pPr>
              <w:spacing w:line="276" w:lineRule="auto"/>
              <w:ind w:left="142"/>
              <w:rPr>
                <w:rFonts w:ascii="Arial" w:hAnsi="Arial" w:cs="Arial"/>
              </w:rPr>
            </w:pPr>
            <w:r w:rsidRPr="00956A0D">
              <w:rPr>
                <w:rFonts w:ascii="Arial" w:hAnsi="Arial" w:cs="Arial"/>
              </w:rPr>
              <w:t xml:space="preserve">Die förderfähigen Projekte können vielfältig sein. Dies kann die Gestaltung von Jugendräumen oder Jugendclubs sein, generationsübergreifende Projekte/Veranstaltungen oder Vorhaben im Bereich Bildung und Kultur.  Auch Projekte zur Vernetzung und zur Stärkung der Strukturentwicklung sind möglich. Grundsätzlich sollte das Ziel der Projekte die Verbesserung der Lebensqualität junger Menschen im ländlichen Raum sein. </w:t>
            </w:r>
          </w:p>
          <w:p w:rsidR="00956A0D" w:rsidRPr="00956A0D" w:rsidRDefault="00956A0D" w:rsidP="00853739">
            <w:pPr>
              <w:spacing w:line="276" w:lineRule="auto"/>
              <w:ind w:left="142"/>
              <w:rPr>
                <w:rFonts w:ascii="Arial" w:hAnsi="Arial" w:cs="Arial"/>
              </w:rPr>
            </w:pPr>
            <w:r w:rsidRPr="00956A0D">
              <w:rPr>
                <w:rFonts w:ascii="Arial" w:hAnsi="Arial" w:cs="Arial"/>
              </w:rPr>
              <w:t>Die Umsetzung des Projektes obliegt den Antragstellenden. Eine aus (jungen) Einwohner*innen des Landkreises gebildete Jury entscheidet, welche Projekte gefördert werden.</w:t>
            </w:r>
          </w:p>
          <w:p w:rsidR="007969C8" w:rsidRPr="00956A0D" w:rsidRDefault="007969C8" w:rsidP="00853739">
            <w:pPr>
              <w:spacing w:line="276" w:lineRule="auto"/>
              <w:rPr>
                <w:rFonts w:ascii="Arial" w:hAnsi="Arial" w:cs="Arial"/>
              </w:rPr>
            </w:pPr>
          </w:p>
        </w:tc>
      </w:tr>
      <w:tr w:rsidR="004F50F6" w:rsidTr="00956A0D">
        <w:trPr>
          <w:gridBefore w:val="1"/>
          <w:gridAfter w:val="1"/>
          <w:wBefore w:w="108" w:type="dxa"/>
          <w:wAfter w:w="83" w:type="dxa"/>
        </w:trPr>
        <w:tc>
          <w:tcPr>
            <w:tcW w:w="562" w:type="dxa"/>
            <w:gridSpan w:val="2"/>
          </w:tcPr>
          <w:p w:rsidR="004F50F6" w:rsidRPr="007969C8" w:rsidRDefault="004F50F6" w:rsidP="00853739">
            <w:pPr>
              <w:spacing w:line="276" w:lineRule="auto"/>
              <w:rPr>
                <w:rFonts w:ascii="Arial" w:hAnsi="Arial" w:cs="Arial"/>
                <w:b/>
              </w:rPr>
            </w:pPr>
            <w:r w:rsidRPr="007969C8">
              <w:rPr>
                <w:rFonts w:ascii="Arial" w:hAnsi="Arial" w:cs="Arial"/>
                <w:b/>
              </w:rPr>
              <w:t>§ 2</w:t>
            </w:r>
          </w:p>
        </w:tc>
        <w:tc>
          <w:tcPr>
            <w:tcW w:w="8500" w:type="dxa"/>
            <w:gridSpan w:val="2"/>
          </w:tcPr>
          <w:p w:rsidR="007969C8" w:rsidRDefault="007969C8" w:rsidP="00853739">
            <w:pPr>
              <w:spacing w:line="276" w:lineRule="auto"/>
              <w:rPr>
                <w:rFonts w:ascii="Arial" w:hAnsi="Arial" w:cs="Arial"/>
                <w:b/>
              </w:rPr>
            </w:pPr>
            <w:r w:rsidRPr="007969C8">
              <w:rPr>
                <w:rFonts w:ascii="Arial" w:hAnsi="Arial" w:cs="Arial"/>
                <w:b/>
              </w:rPr>
              <w:t>Teilnahmeberechtigung</w:t>
            </w:r>
          </w:p>
          <w:p w:rsidR="002247B9" w:rsidRPr="007969C8" w:rsidRDefault="002247B9" w:rsidP="00853739">
            <w:pPr>
              <w:spacing w:line="276" w:lineRule="auto"/>
              <w:rPr>
                <w:rFonts w:ascii="Arial" w:hAnsi="Arial" w:cs="Arial"/>
                <w:b/>
              </w:rPr>
            </w:pPr>
          </w:p>
        </w:tc>
      </w:tr>
      <w:tr w:rsidR="007969C8" w:rsidTr="00956A0D">
        <w:trPr>
          <w:gridBefore w:val="1"/>
          <w:gridAfter w:val="1"/>
          <w:wBefore w:w="108" w:type="dxa"/>
          <w:wAfter w:w="83" w:type="dxa"/>
        </w:trPr>
        <w:tc>
          <w:tcPr>
            <w:tcW w:w="562" w:type="dxa"/>
            <w:gridSpan w:val="2"/>
          </w:tcPr>
          <w:p w:rsidR="007969C8" w:rsidRPr="007969C8" w:rsidRDefault="007969C8" w:rsidP="00853739">
            <w:pPr>
              <w:spacing w:line="276" w:lineRule="auto"/>
              <w:rPr>
                <w:rFonts w:ascii="Arial" w:hAnsi="Arial" w:cs="Arial"/>
              </w:rPr>
            </w:pPr>
          </w:p>
        </w:tc>
        <w:tc>
          <w:tcPr>
            <w:tcW w:w="8500" w:type="dxa"/>
            <w:gridSpan w:val="2"/>
          </w:tcPr>
          <w:p w:rsidR="00853739" w:rsidRPr="00853739" w:rsidRDefault="00853739" w:rsidP="00853739">
            <w:pPr>
              <w:spacing w:line="276" w:lineRule="auto"/>
              <w:contextualSpacing/>
              <w:rPr>
                <w:rFonts w:ascii="Arial" w:hAnsi="Arial" w:cs="Arial"/>
              </w:rPr>
            </w:pPr>
            <w:r w:rsidRPr="00853739">
              <w:rPr>
                <w:rFonts w:ascii="Arial" w:hAnsi="Arial" w:cs="Arial"/>
              </w:rPr>
              <w:t xml:space="preserve">Das „Jugend-Budget – Wir für Uns“ richtet sich an Vereine, Verbände, Organisationen, Initiativen, Träger der kommunalen Jugendarbeit und Bildungsträger mit Sitz im Landkreis Marburg-Biedenkopf oder der Stadt Marburg. Darüber hinaus sind auch Einzelpersonen zur Teilnahme berechtigt (siehe §3(3)). </w:t>
            </w:r>
          </w:p>
          <w:p w:rsidR="007969C8" w:rsidRPr="007969C8" w:rsidRDefault="007969C8" w:rsidP="00853739">
            <w:pPr>
              <w:spacing w:line="276" w:lineRule="auto"/>
              <w:rPr>
                <w:rFonts w:ascii="Arial" w:hAnsi="Arial" w:cs="Arial"/>
              </w:rPr>
            </w:pPr>
          </w:p>
        </w:tc>
      </w:tr>
      <w:tr w:rsidR="004F50F6" w:rsidTr="00956A0D">
        <w:trPr>
          <w:gridBefore w:val="1"/>
          <w:gridAfter w:val="1"/>
          <w:wBefore w:w="108" w:type="dxa"/>
          <w:wAfter w:w="83" w:type="dxa"/>
        </w:trPr>
        <w:tc>
          <w:tcPr>
            <w:tcW w:w="562" w:type="dxa"/>
            <w:gridSpan w:val="2"/>
          </w:tcPr>
          <w:p w:rsidR="004F50F6" w:rsidRPr="007969C8" w:rsidRDefault="004F50F6" w:rsidP="00A56EC5">
            <w:pPr>
              <w:spacing w:line="276" w:lineRule="auto"/>
              <w:rPr>
                <w:rFonts w:ascii="Arial" w:hAnsi="Arial" w:cs="Arial"/>
                <w:b/>
              </w:rPr>
            </w:pPr>
            <w:r w:rsidRPr="007969C8">
              <w:rPr>
                <w:rFonts w:ascii="Arial" w:hAnsi="Arial" w:cs="Arial"/>
                <w:b/>
              </w:rPr>
              <w:t>§ 3</w:t>
            </w:r>
          </w:p>
        </w:tc>
        <w:tc>
          <w:tcPr>
            <w:tcW w:w="8500" w:type="dxa"/>
            <w:gridSpan w:val="2"/>
          </w:tcPr>
          <w:p w:rsidR="007969C8" w:rsidRDefault="007969C8" w:rsidP="00A56EC5">
            <w:pPr>
              <w:spacing w:line="276" w:lineRule="auto"/>
              <w:rPr>
                <w:rFonts w:ascii="Arial" w:hAnsi="Arial" w:cs="Arial"/>
                <w:b/>
              </w:rPr>
            </w:pPr>
            <w:r w:rsidRPr="007969C8">
              <w:rPr>
                <w:rFonts w:ascii="Arial" w:hAnsi="Arial" w:cs="Arial"/>
                <w:b/>
              </w:rPr>
              <w:t>Antragstellung</w:t>
            </w:r>
          </w:p>
          <w:p w:rsidR="002247B9" w:rsidRDefault="002247B9" w:rsidP="00A56EC5">
            <w:pPr>
              <w:spacing w:line="276" w:lineRule="auto"/>
              <w:rPr>
                <w:rFonts w:ascii="Arial" w:hAnsi="Arial" w:cs="Arial"/>
              </w:rPr>
            </w:pPr>
          </w:p>
        </w:tc>
      </w:tr>
      <w:tr w:rsidR="007969C8" w:rsidTr="00956A0D">
        <w:trPr>
          <w:gridBefore w:val="1"/>
          <w:gridAfter w:val="1"/>
          <w:wBefore w:w="108" w:type="dxa"/>
          <w:wAfter w:w="83" w:type="dxa"/>
        </w:trPr>
        <w:tc>
          <w:tcPr>
            <w:tcW w:w="562" w:type="dxa"/>
            <w:gridSpan w:val="2"/>
          </w:tcPr>
          <w:p w:rsidR="007969C8" w:rsidRDefault="007969C8" w:rsidP="00A56EC5">
            <w:pPr>
              <w:spacing w:line="276" w:lineRule="auto"/>
              <w:rPr>
                <w:rFonts w:ascii="Arial" w:hAnsi="Arial" w:cs="Arial"/>
              </w:rPr>
            </w:pPr>
          </w:p>
        </w:tc>
        <w:tc>
          <w:tcPr>
            <w:tcW w:w="8500" w:type="dxa"/>
            <w:gridSpan w:val="2"/>
          </w:tcPr>
          <w:p w:rsidR="007969C8" w:rsidRPr="007969C8" w:rsidRDefault="007969C8" w:rsidP="00A56EC5">
            <w:pPr>
              <w:numPr>
                <w:ilvl w:val="0"/>
                <w:numId w:val="1"/>
              </w:numPr>
              <w:spacing w:line="276" w:lineRule="auto"/>
              <w:ind w:left="357" w:hanging="357"/>
              <w:contextualSpacing/>
              <w:rPr>
                <w:rFonts w:ascii="Arial" w:hAnsi="Arial" w:cs="Arial"/>
                <w:color w:val="000000" w:themeColor="text1"/>
              </w:rPr>
            </w:pPr>
            <w:r w:rsidRPr="007969C8">
              <w:rPr>
                <w:rFonts w:ascii="Arial" w:hAnsi="Arial" w:cs="Arial"/>
              </w:rPr>
              <w:t xml:space="preserve">Die Beantragung einer Förderung ist nur schriftlich über ein Antragsformular möglich. </w:t>
            </w:r>
            <w:r w:rsidRPr="007969C8">
              <w:rPr>
                <w:rFonts w:ascii="Arial" w:hAnsi="Arial" w:cs="Arial"/>
                <w:color w:val="000000" w:themeColor="text1"/>
              </w:rPr>
              <w:t>Dieses kann über verschiedene Kanäle abgerufen oder angefordert werden.</w:t>
            </w:r>
          </w:p>
          <w:p w:rsidR="007969C8" w:rsidRPr="007969C8" w:rsidRDefault="007969C8" w:rsidP="00A56EC5">
            <w:pPr>
              <w:numPr>
                <w:ilvl w:val="1"/>
                <w:numId w:val="1"/>
              </w:numPr>
              <w:spacing w:line="276" w:lineRule="auto"/>
              <w:contextualSpacing/>
              <w:rPr>
                <w:rStyle w:val="Hyperlink"/>
                <w:rFonts w:ascii="Arial" w:hAnsi="Arial" w:cs="Arial"/>
                <w:color w:val="000000" w:themeColor="text1"/>
              </w:rPr>
            </w:pPr>
            <w:r w:rsidRPr="007969C8">
              <w:rPr>
                <w:rFonts w:ascii="Arial" w:hAnsi="Arial" w:cs="Arial"/>
                <w:color w:val="000000" w:themeColor="text1"/>
              </w:rPr>
              <w:t xml:space="preserve">Der Antrag kann auf der Beteiligungsplattform </w:t>
            </w:r>
            <w:hyperlink r:id="rId7" w:history="1">
              <w:r w:rsidRPr="007969C8">
                <w:rPr>
                  <w:rStyle w:val="Hyperlink"/>
                  <w:rFonts w:ascii="Arial" w:hAnsi="Arial" w:cs="Arial"/>
                </w:rPr>
                <w:t>www.mein-marburg-biedenkopf.de</w:t>
              </w:r>
            </w:hyperlink>
            <w:r w:rsidRPr="007969C8">
              <w:rPr>
                <w:rFonts w:ascii="Arial" w:hAnsi="Arial" w:cs="Arial"/>
                <w:color w:val="000000" w:themeColor="text1"/>
              </w:rPr>
              <w:t>, heruntergeladen werden.</w:t>
            </w:r>
          </w:p>
          <w:p w:rsidR="007969C8" w:rsidRPr="007969C8" w:rsidRDefault="007969C8" w:rsidP="00A56EC5">
            <w:pPr>
              <w:numPr>
                <w:ilvl w:val="1"/>
                <w:numId w:val="1"/>
              </w:numPr>
              <w:spacing w:line="276" w:lineRule="auto"/>
              <w:contextualSpacing/>
              <w:rPr>
                <w:rFonts w:ascii="Arial" w:hAnsi="Arial" w:cs="Arial"/>
                <w:color w:val="000000" w:themeColor="text1"/>
              </w:rPr>
            </w:pPr>
            <w:r w:rsidRPr="007969C8">
              <w:rPr>
                <w:rFonts w:ascii="Arial" w:hAnsi="Arial" w:cs="Arial"/>
                <w:color w:val="000000" w:themeColor="text1"/>
              </w:rPr>
              <w:t xml:space="preserve">Er kann auch über die E-Mailadresse: </w:t>
            </w:r>
            <w:hyperlink r:id="rId8" w:history="1">
              <w:r w:rsidRPr="007969C8">
                <w:rPr>
                  <w:rStyle w:val="Hyperlink"/>
                  <w:rFonts w:ascii="Arial" w:hAnsi="Arial" w:cs="Arial"/>
                </w:rPr>
                <w:t>budgets@marburg-biedenkopf.de</w:t>
              </w:r>
            </w:hyperlink>
            <w:r w:rsidRPr="007969C8">
              <w:rPr>
                <w:rFonts w:ascii="Arial" w:hAnsi="Arial" w:cs="Arial"/>
                <w:color w:val="000000" w:themeColor="text1"/>
              </w:rPr>
              <w:t xml:space="preserve"> angefordert werden. </w:t>
            </w:r>
          </w:p>
          <w:p w:rsidR="007969C8" w:rsidRPr="007969C8" w:rsidRDefault="007969C8" w:rsidP="00A56EC5">
            <w:pPr>
              <w:numPr>
                <w:ilvl w:val="1"/>
                <w:numId w:val="1"/>
              </w:numPr>
              <w:spacing w:line="276" w:lineRule="auto"/>
              <w:contextualSpacing/>
              <w:rPr>
                <w:rFonts w:ascii="Arial" w:hAnsi="Arial" w:cs="Arial"/>
                <w:color w:val="000000" w:themeColor="text1"/>
              </w:rPr>
            </w:pPr>
            <w:r w:rsidRPr="007969C8">
              <w:rPr>
                <w:rFonts w:ascii="Arial" w:hAnsi="Arial" w:cs="Arial"/>
                <w:color w:val="000000" w:themeColor="text1"/>
              </w:rPr>
              <w:t>Außerdem kann er telefonisch beim Fachdienst Partizipation, Ehrenamt und Sport (06421 405-1212) angefordert werden.</w:t>
            </w:r>
          </w:p>
          <w:p w:rsidR="007969C8" w:rsidRPr="007969C8" w:rsidRDefault="007969C8" w:rsidP="00A56EC5">
            <w:pPr>
              <w:numPr>
                <w:ilvl w:val="0"/>
                <w:numId w:val="1"/>
              </w:numPr>
              <w:spacing w:line="276" w:lineRule="auto"/>
              <w:contextualSpacing/>
              <w:rPr>
                <w:rFonts w:ascii="Arial" w:hAnsi="Arial" w:cs="Arial"/>
              </w:rPr>
            </w:pPr>
            <w:r w:rsidRPr="007969C8">
              <w:rPr>
                <w:rFonts w:ascii="Arial" w:hAnsi="Arial" w:cs="Arial"/>
              </w:rPr>
              <w:lastRenderedPageBreak/>
              <w:t xml:space="preserve">Das ausgefüllte Antragsformular kann bis zum </w:t>
            </w:r>
            <w:r w:rsidRPr="007969C8">
              <w:rPr>
                <w:rFonts w:ascii="Arial" w:hAnsi="Arial" w:cs="Arial"/>
                <w:b/>
                <w:color w:val="000000" w:themeColor="text1"/>
              </w:rPr>
              <w:t>15.</w:t>
            </w:r>
            <w:r w:rsidR="002871E7">
              <w:rPr>
                <w:rFonts w:ascii="Arial" w:hAnsi="Arial" w:cs="Arial"/>
                <w:b/>
                <w:color w:val="000000" w:themeColor="text1"/>
              </w:rPr>
              <w:t xml:space="preserve"> </w:t>
            </w:r>
            <w:r w:rsidRPr="007969C8">
              <w:rPr>
                <w:rFonts w:ascii="Arial" w:hAnsi="Arial" w:cs="Arial"/>
                <w:b/>
                <w:color w:val="000000" w:themeColor="text1"/>
              </w:rPr>
              <w:t>Mai 2024</w:t>
            </w:r>
            <w:r w:rsidRPr="007969C8">
              <w:rPr>
                <w:rFonts w:ascii="Arial" w:hAnsi="Arial" w:cs="Arial"/>
                <w:color w:val="000000" w:themeColor="text1"/>
              </w:rPr>
              <w:t xml:space="preserve"> </w:t>
            </w:r>
            <w:r w:rsidRPr="007969C8">
              <w:rPr>
                <w:rFonts w:ascii="Arial" w:hAnsi="Arial" w:cs="Arial"/>
              </w:rPr>
              <w:t xml:space="preserve">an die angegebene Adresse oder per E-Mail an: </w:t>
            </w:r>
            <w:hyperlink r:id="rId9" w:history="1">
              <w:r w:rsidR="00303D47" w:rsidRPr="001A6D39">
                <w:rPr>
                  <w:rStyle w:val="Hyperlink"/>
                  <w:rFonts w:ascii="Arial" w:hAnsi="Arial" w:cs="Arial"/>
                </w:rPr>
                <w:t>budgets@marburg-biedenkopf.de</w:t>
              </w:r>
            </w:hyperlink>
            <w:r w:rsidRPr="007969C8">
              <w:rPr>
                <w:rFonts w:ascii="Arial" w:hAnsi="Arial" w:cs="Arial"/>
              </w:rPr>
              <w:t xml:space="preserve"> eingereicht werden.</w:t>
            </w:r>
          </w:p>
          <w:p w:rsidR="007969C8" w:rsidRPr="007969C8" w:rsidRDefault="007969C8" w:rsidP="00A56EC5">
            <w:pPr>
              <w:numPr>
                <w:ilvl w:val="0"/>
                <w:numId w:val="1"/>
              </w:numPr>
              <w:spacing w:line="276" w:lineRule="auto"/>
              <w:ind w:left="357" w:hanging="357"/>
              <w:rPr>
                <w:rFonts w:ascii="Arial" w:hAnsi="Arial" w:cs="Arial"/>
              </w:rPr>
            </w:pPr>
            <w:r w:rsidRPr="007969C8">
              <w:rPr>
                <w:rFonts w:ascii="Arial" w:hAnsi="Arial" w:cs="Arial"/>
              </w:rPr>
              <w:t xml:space="preserve">Wenn die Antragstellung durch eine juristische Person (bspw. Vereine) oder nicht rechtsfähige Personenvereinigungen (bspw. Initiativen) erfolgt, ist der Antrag </w:t>
            </w:r>
            <w:r w:rsidRPr="007969C8">
              <w:rPr>
                <w:rFonts w:ascii="Arial" w:hAnsi="Arial" w:cs="Arial"/>
                <w:color w:val="000000" w:themeColor="text1"/>
              </w:rPr>
              <w:t xml:space="preserve">durch die verantwortliche Vertretung zu </w:t>
            </w:r>
            <w:r w:rsidRPr="007969C8">
              <w:rPr>
                <w:rFonts w:ascii="Arial" w:hAnsi="Arial" w:cs="Arial"/>
              </w:rPr>
              <w:t xml:space="preserve">stellen (z.B. Vorstandsmitglieder, Gruppenleitungen/-sprecher*innen). </w:t>
            </w:r>
          </w:p>
          <w:p w:rsidR="007969C8" w:rsidRPr="007969C8" w:rsidRDefault="007969C8" w:rsidP="00A56EC5">
            <w:pPr>
              <w:numPr>
                <w:ilvl w:val="0"/>
                <w:numId w:val="1"/>
              </w:numPr>
              <w:spacing w:line="276" w:lineRule="auto"/>
              <w:ind w:left="357" w:hanging="357"/>
              <w:rPr>
                <w:rFonts w:ascii="Arial" w:hAnsi="Arial" w:cs="Arial"/>
                <w:color w:val="000000" w:themeColor="text1"/>
              </w:rPr>
            </w:pPr>
            <w:r w:rsidRPr="007969C8">
              <w:rPr>
                <w:rFonts w:ascii="Arial" w:hAnsi="Arial" w:cs="Arial"/>
                <w:color w:val="000000" w:themeColor="text1"/>
              </w:rPr>
              <w:t xml:space="preserve">Bei Antragstellung durch eine Einzelperson muss die Gemeinnützigkeit des Vorhabens aus dem Antrag deutlich hervorgehen. </w:t>
            </w:r>
          </w:p>
          <w:p w:rsidR="007969C8" w:rsidRPr="007969C8" w:rsidRDefault="007969C8" w:rsidP="00A56EC5">
            <w:pPr>
              <w:numPr>
                <w:ilvl w:val="0"/>
                <w:numId w:val="1"/>
              </w:numPr>
              <w:spacing w:line="276" w:lineRule="auto"/>
              <w:rPr>
                <w:rFonts w:ascii="Arial" w:hAnsi="Arial" w:cs="Arial"/>
              </w:rPr>
            </w:pPr>
            <w:r w:rsidRPr="007969C8">
              <w:rPr>
                <w:rFonts w:ascii="Arial" w:hAnsi="Arial" w:cs="Arial"/>
              </w:rPr>
              <w:t>Bei der schriftlichen Antragsstellung ist der vollständige Name und die Anschrift der rechtsfähigen Person oder des*der verantwortlichen Vertreter*in anzugeben und der Antrag unterzeichnet einzureichen.</w:t>
            </w:r>
          </w:p>
          <w:p w:rsidR="007969C8" w:rsidRPr="007969C8" w:rsidRDefault="007969C8" w:rsidP="00A56EC5">
            <w:pPr>
              <w:spacing w:line="276" w:lineRule="auto"/>
              <w:ind w:left="360"/>
              <w:rPr>
                <w:rFonts w:ascii="Arial" w:hAnsi="Arial" w:cs="Arial"/>
              </w:rPr>
            </w:pPr>
            <w:r w:rsidRPr="007969C8">
              <w:rPr>
                <w:rFonts w:ascii="Arial" w:hAnsi="Arial" w:cs="Arial"/>
              </w:rPr>
              <w:t xml:space="preserve">Bei minderjährigen Antragstellern*innen ist der Antrag durch die gesetzliche Vertretung zu stellen. </w:t>
            </w:r>
          </w:p>
          <w:p w:rsidR="007969C8" w:rsidRPr="007969C8" w:rsidRDefault="007969C8" w:rsidP="00A56EC5">
            <w:pPr>
              <w:numPr>
                <w:ilvl w:val="0"/>
                <w:numId w:val="1"/>
              </w:numPr>
              <w:spacing w:line="276" w:lineRule="auto"/>
              <w:rPr>
                <w:rFonts w:ascii="Arial" w:hAnsi="Arial" w:cs="Arial"/>
              </w:rPr>
            </w:pPr>
            <w:r w:rsidRPr="007969C8">
              <w:rPr>
                <w:rFonts w:ascii="Arial" w:hAnsi="Arial" w:cs="Arial"/>
              </w:rPr>
              <w:t xml:space="preserve">Die Untergrenze für die Zulassung von Anträgen liegt bei einer Fördersumme von </w:t>
            </w:r>
            <w:r w:rsidRPr="007969C8">
              <w:rPr>
                <w:rFonts w:ascii="Arial" w:hAnsi="Arial" w:cs="Arial"/>
                <w:color w:val="000000" w:themeColor="text1"/>
              </w:rPr>
              <w:t xml:space="preserve">500 </w:t>
            </w:r>
            <w:r w:rsidRPr="007969C8">
              <w:rPr>
                <w:rFonts w:ascii="Arial" w:hAnsi="Arial" w:cs="Arial"/>
              </w:rPr>
              <w:t>Euro.</w:t>
            </w:r>
          </w:p>
          <w:p w:rsidR="007969C8" w:rsidRPr="007969C8" w:rsidRDefault="007969C8" w:rsidP="00A56EC5">
            <w:pPr>
              <w:spacing w:line="276" w:lineRule="auto"/>
              <w:ind w:left="360"/>
              <w:rPr>
                <w:rFonts w:ascii="Arial" w:hAnsi="Arial" w:cs="Arial"/>
              </w:rPr>
            </w:pPr>
          </w:p>
        </w:tc>
      </w:tr>
      <w:tr w:rsidR="004F50F6" w:rsidTr="00956A0D">
        <w:trPr>
          <w:gridBefore w:val="1"/>
          <w:gridAfter w:val="1"/>
          <w:wBefore w:w="108" w:type="dxa"/>
          <w:wAfter w:w="83" w:type="dxa"/>
        </w:trPr>
        <w:tc>
          <w:tcPr>
            <w:tcW w:w="562" w:type="dxa"/>
            <w:gridSpan w:val="2"/>
          </w:tcPr>
          <w:p w:rsidR="004F50F6" w:rsidRPr="007969C8" w:rsidRDefault="007969C8" w:rsidP="00A56EC5">
            <w:pPr>
              <w:spacing w:line="276" w:lineRule="auto"/>
              <w:rPr>
                <w:rFonts w:ascii="Arial" w:hAnsi="Arial" w:cs="Arial"/>
                <w:b/>
              </w:rPr>
            </w:pPr>
            <w:r w:rsidRPr="007969C8">
              <w:rPr>
                <w:rFonts w:ascii="Arial" w:hAnsi="Arial" w:cs="Arial"/>
                <w:b/>
              </w:rPr>
              <w:lastRenderedPageBreak/>
              <w:t>§ 4</w:t>
            </w:r>
          </w:p>
        </w:tc>
        <w:tc>
          <w:tcPr>
            <w:tcW w:w="8500" w:type="dxa"/>
            <w:gridSpan w:val="2"/>
          </w:tcPr>
          <w:p w:rsidR="007969C8" w:rsidRDefault="007969C8" w:rsidP="00A56EC5">
            <w:pPr>
              <w:spacing w:line="276" w:lineRule="auto"/>
              <w:rPr>
                <w:rFonts w:ascii="Arial" w:hAnsi="Arial" w:cs="Arial"/>
                <w:b/>
              </w:rPr>
            </w:pPr>
            <w:r w:rsidRPr="007969C8">
              <w:rPr>
                <w:rFonts w:ascii="Arial" w:hAnsi="Arial" w:cs="Arial"/>
                <w:b/>
              </w:rPr>
              <w:t>Art, Umfang und Höhe der Förderung</w:t>
            </w:r>
          </w:p>
          <w:p w:rsidR="002247B9" w:rsidRPr="007969C8" w:rsidRDefault="002247B9" w:rsidP="00A56EC5">
            <w:pPr>
              <w:spacing w:line="276" w:lineRule="auto"/>
              <w:rPr>
                <w:rFonts w:ascii="Arial" w:hAnsi="Arial" w:cs="Arial"/>
                <w:b/>
              </w:rPr>
            </w:pPr>
          </w:p>
        </w:tc>
      </w:tr>
      <w:tr w:rsidR="007969C8" w:rsidTr="00956A0D">
        <w:trPr>
          <w:gridBefore w:val="1"/>
          <w:gridAfter w:val="1"/>
          <w:wBefore w:w="108" w:type="dxa"/>
          <w:wAfter w:w="83" w:type="dxa"/>
        </w:trPr>
        <w:tc>
          <w:tcPr>
            <w:tcW w:w="562" w:type="dxa"/>
            <w:gridSpan w:val="2"/>
          </w:tcPr>
          <w:p w:rsidR="007969C8" w:rsidRDefault="007969C8" w:rsidP="00A56EC5">
            <w:pPr>
              <w:spacing w:line="276" w:lineRule="auto"/>
              <w:rPr>
                <w:rFonts w:ascii="Arial" w:hAnsi="Arial" w:cs="Arial"/>
              </w:rPr>
            </w:pPr>
          </w:p>
        </w:tc>
        <w:tc>
          <w:tcPr>
            <w:tcW w:w="8500" w:type="dxa"/>
            <w:gridSpan w:val="2"/>
          </w:tcPr>
          <w:p w:rsidR="007969C8" w:rsidRPr="007969C8" w:rsidRDefault="007969C8" w:rsidP="00A56EC5">
            <w:pPr>
              <w:pStyle w:val="Listenabsatz"/>
              <w:numPr>
                <w:ilvl w:val="0"/>
                <w:numId w:val="5"/>
              </w:numPr>
              <w:spacing w:before="0" w:after="0" w:line="276" w:lineRule="auto"/>
              <w:rPr>
                <w:rFonts w:cs="Arial"/>
              </w:rPr>
            </w:pPr>
            <w:r w:rsidRPr="007969C8">
              <w:rPr>
                <w:rFonts w:cs="Arial"/>
              </w:rPr>
              <w:t xml:space="preserve">Mit einer nicht rückzahlbaren Zuwendung zur Projektförderdung werden einzelne Projekte bezuschusst. Das Gesamtbudget umfasst </w:t>
            </w:r>
            <w:r w:rsidR="00853739">
              <w:rPr>
                <w:rFonts w:cs="Arial"/>
              </w:rPr>
              <w:t>10</w:t>
            </w:r>
            <w:r w:rsidRPr="007969C8">
              <w:rPr>
                <w:rFonts w:cs="Arial"/>
              </w:rPr>
              <w:t>.000 Euro für das Haushaltsjahr 2024. Eine Förderung kann nur erfolgen, solange noch Fördermittel vorhanden sind.</w:t>
            </w:r>
          </w:p>
          <w:p w:rsidR="007969C8" w:rsidRPr="007969C8" w:rsidRDefault="007969C8" w:rsidP="00A56EC5">
            <w:pPr>
              <w:pStyle w:val="Listenabsatz"/>
              <w:numPr>
                <w:ilvl w:val="0"/>
                <w:numId w:val="5"/>
              </w:numPr>
              <w:spacing w:before="0" w:after="0" w:line="276" w:lineRule="auto"/>
              <w:rPr>
                <w:rFonts w:cs="Arial"/>
              </w:rPr>
            </w:pPr>
            <w:r w:rsidRPr="007969C8">
              <w:rPr>
                <w:rFonts w:cs="Arial"/>
              </w:rPr>
              <w:t xml:space="preserve">Die Zuwendung beträgt minimal </w:t>
            </w:r>
            <w:r w:rsidRPr="007969C8">
              <w:rPr>
                <w:rFonts w:cs="Arial"/>
                <w:color w:val="000000" w:themeColor="text1"/>
              </w:rPr>
              <w:t xml:space="preserve">500 </w:t>
            </w:r>
            <w:r w:rsidRPr="007969C8">
              <w:rPr>
                <w:rFonts w:cs="Arial"/>
              </w:rPr>
              <w:t>Euro und maximal 2.000 Euro pro Antrag und Antragsteller*in.</w:t>
            </w:r>
          </w:p>
          <w:p w:rsidR="007969C8" w:rsidRPr="007969C8" w:rsidRDefault="007969C8" w:rsidP="00A56EC5">
            <w:pPr>
              <w:pStyle w:val="Listenabsatz"/>
              <w:numPr>
                <w:ilvl w:val="0"/>
                <w:numId w:val="5"/>
              </w:numPr>
              <w:spacing w:before="0" w:after="0" w:line="276" w:lineRule="auto"/>
              <w:rPr>
                <w:rFonts w:cs="Arial"/>
              </w:rPr>
            </w:pPr>
            <w:r w:rsidRPr="007969C8">
              <w:rPr>
                <w:rFonts w:cs="Arial"/>
              </w:rPr>
              <w:t xml:space="preserve">Von der Förderung ausgeschlossen sind Personalkosten. </w:t>
            </w:r>
          </w:p>
          <w:p w:rsidR="007969C8" w:rsidRPr="007969C8" w:rsidRDefault="007969C8" w:rsidP="00A56EC5">
            <w:pPr>
              <w:pStyle w:val="Listenabsatz"/>
              <w:numPr>
                <w:ilvl w:val="0"/>
                <w:numId w:val="5"/>
              </w:numPr>
              <w:spacing w:before="0" w:after="0" w:line="276" w:lineRule="auto"/>
              <w:rPr>
                <w:rFonts w:cs="Arial"/>
              </w:rPr>
            </w:pPr>
            <w:r w:rsidRPr="007969C8">
              <w:rPr>
                <w:rFonts w:cs="Arial"/>
              </w:rPr>
              <w:t>Es können nur Honorarkosten von Dritten gefördert werden (bspw. Moderation), die angemessen sind.</w:t>
            </w:r>
          </w:p>
          <w:p w:rsidR="007969C8" w:rsidRPr="007969C8" w:rsidRDefault="007969C8" w:rsidP="00A56EC5">
            <w:pPr>
              <w:pStyle w:val="Listenabsatz"/>
              <w:numPr>
                <w:ilvl w:val="0"/>
                <w:numId w:val="5"/>
              </w:numPr>
              <w:spacing w:before="0" w:after="0" w:line="276" w:lineRule="auto"/>
              <w:rPr>
                <w:rFonts w:cs="Arial"/>
              </w:rPr>
            </w:pPr>
            <w:r w:rsidRPr="007969C8">
              <w:rPr>
                <w:rFonts w:cs="Arial"/>
              </w:rPr>
              <w:t xml:space="preserve">Investitionskosten sowie Sachkosten sind zuwendungsfähig, wenn sie in Art und Umfang angemessen sind. </w:t>
            </w:r>
          </w:p>
          <w:p w:rsidR="007969C8" w:rsidRPr="007969C8" w:rsidRDefault="007969C8" w:rsidP="00A56EC5">
            <w:pPr>
              <w:pStyle w:val="Listenabsatz"/>
              <w:numPr>
                <w:ilvl w:val="0"/>
                <w:numId w:val="5"/>
              </w:numPr>
              <w:spacing w:before="0" w:after="0" w:line="276" w:lineRule="auto"/>
              <w:rPr>
                <w:rFonts w:cs="Arial"/>
              </w:rPr>
            </w:pPr>
            <w:r w:rsidRPr="007969C8">
              <w:rPr>
                <w:rFonts w:cs="Arial"/>
              </w:rPr>
              <w:t xml:space="preserve">Nachträglich entstehende Folgekosten sind von einer Förderung ausgeschlossen. </w:t>
            </w:r>
          </w:p>
          <w:p w:rsidR="007969C8" w:rsidRPr="007969C8" w:rsidRDefault="007969C8" w:rsidP="00A56EC5">
            <w:pPr>
              <w:pStyle w:val="Listenabsatz"/>
              <w:numPr>
                <w:ilvl w:val="0"/>
                <w:numId w:val="5"/>
              </w:numPr>
              <w:spacing w:before="0" w:after="0" w:line="276" w:lineRule="auto"/>
              <w:rPr>
                <w:rFonts w:cs="Arial"/>
                <w:color w:val="000000" w:themeColor="text1"/>
              </w:rPr>
            </w:pPr>
            <w:r w:rsidRPr="007969C8">
              <w:rPr>
                <w:rFonts w:cs="Arial"/>
                <w:color w:val="000000" w:themeColor="text1"/>
              </w:rPr>
              <w:t>Die Förderung kann nicht rückwirkend für bereits angefallene Kosten beantragt werden.</w:t>
            </w:r>
          </w:p>
          <w:p w:rsidR="007969C8" w:rsidRPr="007969C8" w:rsidRDefault="007969C8" w:rsidP="00A56EC5">
            <w:pPr>
              <w:pStyle w:val="Listenabsatz"/>
              <w:numPr>
                <w:ilvl w:val="0"/>
                <w:numId w:val="5"/>
              </w:numPr>
              <w:spacing w:before="0" w:after="0" w:line="276" w:lineRule="auto"/>
              <w:rPr>
                <w:rFonts w:cs="Arial"/>
              </w:rPr>
            </w:pPr>
            <w:r w:rsidRPr="007969C8">
              <w:rPr>
                <w:rFonts w:cs="Arial"/>
              </w:rPr>
              <w:t xml:space="preserve">Ein Anspruch der Antragstellenden auf Gewährung von Zuwendungen besteht nicht. </w:t>
            </w:r>
          </w:p>
          <w:p w:rsidR="007969C8" w:rsidRPr="007969C8" w:rsidRDefault="007969C8" w:rsidP="00A56EC5">
            <w:pPr>
              <w:pStyle w:val="Listenabsatz"/>
              <w:numPr>
                <w:ilvl w:val="0"/>
                <w:numId w:val="5"/>
              </w:numPr>
              <w:spacing w:before="0" w:after="0" w:line="276" w:lineRule="auto"/>
              <w:rPr>
                <w:rFonts w:cs="Arial"/>
                <w:color w:val="000000" w:themeColor="text1"/>
              </w:rPr>
            </w:pPr>
            <w:bookmarkStart w:id="0" w:name="_Hlk162251401"/>
            <w:r w:rsidRPr="007969C8">
              <w:rPr>
                <w:rFonts w:cs="Arial"/>
                <w:color w:val="000000" w:themeColor="text1"/>
              </w:rPr>
              <w:t xml:space="preserve">Die Förderung schließt eine ergänzende Antragstellung für andere Förderprojekte nicht aus. Eine Doppelförderung </w:t>
            </w:r>
            <w:proofErr w:type="gramStart"/>
            <w:r w:rsidRPr="007969C8">
              <w:rPr>
                <w:rFonts w:cs="Arial"/>
                <w:color w:val="000000" w:themeColor="text1"/>
              </w:rPr>
              <w:t>mit den anderen Bürger</w:t>
            </w:r>
            <w:proofErr w:type="gramEnd"/>
            <w:r w:rsidRPr="007969C8">
              <w:rPr>
                <w:rFonts w:cs="Arial"/>
                <w:color w:val="000000" w:themeColor="text1"/>
              </w:rPr>
              <w:t xml:space="preserve">*innen-Budgets des Landkreises ist nicht möglich. </w:t>
            </w:r>
          </w:p>
          <w:bookmarkEnd w:id="0"/>
          <w:p w:rsidR="007969C8" w:rsidRDefault="007969C8" w:rsidP="00A56EC5">
            <w:pPr>
              <w:spacing w:line="276" w:lineRule="auto"/>
              <w:rPr>
                <w:rFonts w:ascii="Arial" w:hAnsi="Arial" w:cs="Arial"/>
              </w:rPr>
            </w:pPr>
          </w:p>
        </w:tc>
      </w:tr>
      <w:tr w:rsidR="004F50F6" w:rsidTr="00956A0D">
        <w:trPr>
          <w:gridBefore w:val="1"/>
          <w:gridAfter w:val="1"/>
          <w:wBefore w:w="108" w:type="dxa"/>
          <w:wAfter w:w="83" w:type="dxa"/>
        </w:trPr>
        <w:tc>
          <w:tcPr>
            <w:tcW w:w="562" w:type="dxa"/>
            <w:gridSpan w:val="2"/>
          </w:tcPr>
          <w:p w:rsidR="004F50F6" w:rsidRPr="007969C8" w:rsidRDefault="007969C8" w:rsidP="00A56EC5">
            <w:pPr>
              <w:spacing w:line="276" w:lineRule="auto"/>
              <w:rPr>
                <w:rFonts w:ascii="Arial" w:hAnsi="Arial" w:cs="Arial"/>
                <w:b/>
              </w:rPr>
            </w:pPr>
            <w:r w:rsidRPr="007969C8">
              <w:rPr>
                <w:rFonts w:ascii="Arial" w:hAnsi="Arial" w:cs="Arial"/>
                <w:b/>
              </w:rPr>
              <w:t>§ 5</w:t>
            </w:r>
          </w:p>
        </w:tc>
        <w:tc>
          <w:tcPr>
            <w:tcW w:w="8500" w:type="dxa"/>
            <w:gridSpan w:val="2"/>
          </w:tcPr>
          <w:p w:rsidR="00832717" w:rsidRDefault="00832717" w:rsidP="00A56EC5">
            <w:pPr>
              <w:spacing w:line="276" w:lineRule="auto"/>
              <w:rPr>
                <w:rFonts w:ascii="Arial" w:hAnsi="Arial" w:cs="Arial"/>
                <w:b/>
              </w:rPr>
            </w:pPr>
            <w:r>
              <w:rPr>
                <w:rFonts w:ascii="Arial" w:hAnsi="Arial" w:cs="Arial"/>
                <w:b/>
              </w:rPr>
              <w:t>Fördervoraussetzungen</w:t>
            </w:r>
          </w:p>
          <w:p w:rsidR="002247B9" w:rsidRPr="00832717" w:rsidRDefault="002247B9" w:rsidP="00A56EC5">
            <w:pPr>
              <w:spacing w:line="276" w:lineRule="auto"/>
              <w:rPr>
                <w:rFonts w:ascii="Arial" w:hAnsi="Arial" w:cs="Arial"/>
                <w:b/>
              </w:rPr>
            </w:pPr>
          </w:p>
        </w:tc>
      </w:tr>
      <w:tr w:rsidR="007969C8" w:rsidTr="00956A0D">
        <w:trPr>
          <w:gridBefore w:val="1"/>
          <w:gridAfter w:val="1"/>
          <w:wBefore w:w="108" w:type="dxa"/>
          <w:wAfter w:w="83" w:type="dxa"/>
        </w:trPr>
        <w:tc>
          <w:tcPr>
            <w:tcW w:w="562" w:type="dxa"/>
            <w:gridSpan w:val="2"/>
          </w:tcPr>
          <w:p w:rsidR="007969C8" w:rsidRDefault="007969C8" w:rsidP="00A56EC5">
            <w:pPr>
              <w:spacing w:line="276" w:lineRule="auto"/>
              <w:rPr>
                <w:rFonts w:ascii="Arial" w:hAnsi="Arial" w:cs="Arial"/>
              </w:rPr>
            </w:pPr>
          </w:p>
        </w:tc>
        <w:tc>
          <w:tcPr>
            <w:tcW w:w="8500" w:type="dxa"/>
            <w:gridSpan w:val="2"/>
          </w:tcPr>
          <w:p w:rsidR="00832717" w:rsidRPr="00CB4ACC" w:rsidRDefault="00832717" w:rsidP="00A56EC5">
            <w:pPr>
              <w:numPr>
                <w:ilvl w:val="0"/>
                <w:numId w:val="9"/>
              </w:numPr>
              <w:spacing w:line="276" w:lineRule="auto"/>
              <w:rPr>
                <w:rFonts w:ascii="Arial" w:hAnsi="Arial" w:cs="Arial"/>
                <w:color w:val="000000" w:themeColor="text1"/>
              </w:rPr>
            </w:pPr>
            <w:r w:rsidRPr="00CB4ACC">
              <w:rPr>
                <w:rFonts w:ascii="Arial" w:hAnsi="Arial" w:cs="Arial"/>
              </w:rPr>
              <w:t xml:space="preserve">Für die Teilnahme am Förderverfahren müssen folgende Voraussetzungen erfüllt </w:t>
            </w:r>
            <w:r w:rsidRPr="00CB4ACC">
              <w:rPr>
                <w:rFonts w:ascii="Arial" w:hAnsi="Arial" w:cs="Arial"/>
                <w:color w:val="000000" w:themeColor="text1"/>
              </w:rPr>
              <w:t>sein:</w:t>
            </w:r>
          </w:p>
          <w:p w:rsidR="00832717" w:rsidRPr="00CB4ACC" w:rsidRDefault="00832717" w:rsidP="00A56EC5">
            <w:pPr>
              <w:pStyle w:val="Listenabsatz"/>
              <w:numPr>
                <w:ilvl w:val="1"/>
                <w:numId w:val="9"/>
              </w:numPr>
              <w:spacing w:before="0" w:line="276" w:lineRule="auto"/>
              <w:rPr>
                <w:rFonts w:cs="Arial"/>
                <w:color w:val="000000" w:themeColor="text1"/>
              </w:rPr>
            </w:pPr>
            <w:r w:rsidRPr="00CB4ACC">
              <w:rPr>
                <w:rFonts w:cs="Arial"/>
                <w:color w:val="000000" w:themeColor="text1"/>
              </w:rPr>
              <w:t>Vereine, Verbände, Organisationen, Initiativen sowie Bildungsträger müssen ihren Sitz und Tätigkeitsschwerpunkt im Landkreis Marburg-</w:t>
            </w:r>
            <w:r w:rsidRPr="00CB4ACC">
              <w:rPr>
                <w:rFonts w:cs="Arial"/>
                <w:color w:val="000000" w:themeColor="text1"/>
              </w:rPr>
              <w:lastRenderedPageBreak/>
              <w:t>Biedenkopf oder der Stadt Marburg haben. Einzelpersonen müssen Einwohner*innen des Landkreises oder der Stadt Marburg sein.</w:t>
            </w:r>
          </w:p>
          <w:p w:rsidR="00832717" w:rsidRPr="00CB4ACC" w:rsidRDefault="00832717" w:rsidP="00A56EC5">
            <w:pPr>
              <w:pStyle w:val="Listenabsatz"/>
              <w:numPr>
                <w:ilvl w:val="1"/>
                <w:numId w:val="9"/>
              </w:numPr>
              <w:spacing w:before="0" w:line="276" w:lineRule="auto"/>
              <w:rPr>
                <w:rFonts w:cs="Arial"/>
                <w:color w:val="000000" w:themeColor="text1"/>
              </w:rPr>
            </w:pPr>
            <w:bookmarkStart w:id="1" w:name="_Hlk162256293"/>
            <w:r w:rsidRPr="00CB4ACC">
              <w:rPr>
                <w:rFonts w:cs="Arial"/>
                <w:color w:val="000000" w:themeColor="text1"/>
              </w:rPr>
              <w:t>Der Schwerpunkt der Förderung liegt auf dem Landkreis Marburg-Biedenkopf. Eine Antragstellung für Projekte, die sich nur auf die Stadt Marburg beziehen, ist jedoch ebenfalls möglich und förderfähig.</w:t>
            </w:r>
          </w:p>
          <w:bookmarkEnd w:id="1"/>
          <w:p w:rsidR="00832717" w:rsidRPr="00CB4ACC" w:rsidRDefault="00832717" w:rsidP="00A56EC5">
            <w:pPr>
              <w:pStyle w:val="Listenabsatz"/>
              <w:numPr>
                <w:ilvl w:val="1"/>
                <w:numId w:val="9"/>
              </w:numPr>
              <w:spacing w:before="0" w:line="276" w:lineRule="auto"/>
              <w:rPr>
                <w:rFonts w:cs="Arial"/>
                <w:color w:val="000000" w:themeColor="text1"/>
              </w:rPr>
            </w:pPr>
            <w:r w:rsidRPr="00CB4ACC">
              <w:rPr>
                <w:rFonts w:cs="Arial"/>
                <w:color w:val="000000" w:themeColor="text1"/>
              </w:rPr>
              <w:t>Das Projekt muss im Landkreises Marburg-Biedenkopf oder der Stadt Marburg durchgeführt werden.</w:t>
            </w:r>
          </w:p>
          <w:p w:rsidR="00832717" w:rsidRPr="00CB4ACC" w:rsidRDefault="00832717" w:rsidP="00A56EC5">
            <w:pPr>
              <w:pStyle w:val="Listenabsatz"/>
              <w:numPr>
                <w:ilvl w:val="1"/>
                <w:numId w:val="9"/>
              </w:numPr>
              <w:spacing w:before="0" w:line="276" w:lineRule="auto"/>
              <w:rPr>
                <w:rFonts w:cs="Arial"/>
                <w:color w:val="000000" w:themeColor="text1"/>
              </w:rPr>
            </w:pPr>
            <w:r w:rsidRPr="00CB4ACC">
              <w:rPr>
                <w:rFonts w:cs="Arial"/>
                <w:color w:val="000000" w:themeColor="text1"/>
              </w:rPr>
              <w:t xml:space="preserve">Das Projekt fördert die </w:t>
            </w:r>
            <w:r w:rsidR="00853739">
              <w:rPr>
                <w:rFonts w:cs="Arial"/>
                <w:color w:val="000000" w:themeColor="text1"/>
              </w:rPr>
              <w:t xml:space="preserve">Beteiligung junger Menschen im ländlichen Raum. </w:t>
            </w:r>
            <w:r w:rsidR="00853739" w:rsidRPr="00A60E67">
              <w:rPr>
                <w:rFonts w:cs="Arial"/>
              </w:rPr>
              <w:t>Ziel ist es, Erfahrungen der Selbstwirksamkeit zu ermöglichen und die Lebensqualität junger Menschen im ländlichen Raum zu verbessern.</w:t>
            </w:r>
          </w:p>
          <w:p w:rsidR="00832717" w:rsidRPr="00CB4ACC" w:rsidRDefault="00832717" w:rsidP="00A56EC5">
            <w:pPr>
              <w:pStyle w:val="Listenabsatz"/>
              <w:numPr>
                <w:ilvl w:val="1"/>
                <w:numId w:val="9"/>
              </w:numPr>
              <w:spacing w:before="0" w:line="276" w:lineRule="auto"/>
              <w:rPr>
                <w:rFonts w:cs="Arial"/>
              </w:rPr>
            </w:pPr>
            <w:r w:rsidRPr="00CB4ACC">
              <w:rPr>
                <w:rFonts w:cs="Arial"/>
                <w:color w:val="000000" w:themeColor="text1"/>
              </w:rPr>
              <w:t xml:space="preserve">Die Umsetzung des Projektes liegt bei </w:t>
            </w:r>
            <w:r w:rsidRPr="00CB4ACC">
              <w:rPr>
                <w:rFonts w:cs="Arial"/>
              </w:rPr>
              <w:t>den Antragstellenden</w:t>
            </w:r>
          </w:p>
          <w:p w:rsidR="00832717" w:rsidRPr="00CB4ACC" w:rsidRDefault="00832717" w:rsidP="00A56EC5">
            <w:pPr>
              <w:pStyle w:val="Listenabsatz"/>
              <w:numPr>
                <w:ilvl w:val="1"/>
                <w:numId w:val="9"/>
              </w:numPr>
              <w:spacing w:before="0" w:after="0" w:line="276" w:lineRule="auto"/>
              <w:rPr>
                <w:rFonts w:cs="Arial"/>
              </w:rPr>
            </w:pPr>
            <w:r w:rsidRPr="00CB4ACC">
              <w:rPr>
                <w:rFonts w:cs="Arial"/>
              </w:rPr>
              <w:t xml:space="preserve">Es liegt eine Kostenaufstellung der Ausgaben vor, die für die Umsetzung des Vorhabens benötigt werden bzw. ein Angebot über geplante Ausgaben. </w:t>
            </w:r>
          </w:p>
          <w:p w:rsidR="00832717" w:rsidRPr="00CB4ACC" w:rsidRDefault="00832717" w:rsidP="00A56EC5">
            <w:pPr>
              <w:numPr>
                <w:ilvl w:val="0"/>
                <w:numId w:val="9"/>
              </w:numPr>
              <w:spacing w:line="276" w:lineRule="auto"/>
              <w:rPr>
                <w:rFonts w:ascii="Arial" w:hAnsi="Arial" w:cs="Arial"/>
              </w:rPr>
            </w:pPr>
            <w:r w:rsidRPr="00CB4ACC">
              <w:rPr>
                <w:rFonts w:ascii="Arial" w:hAnsi="Arial" w:cs="Arial"/>
              </w:rPr>
              <w:t xml:space="preserve">Von dem Förderverfahren sind Projektanträge auszuschließen, wenn sie: </w:t>
            </w:r>
          </w:p>
          <w:p w:rsidR="00832717" w:rsidRPr="00CB4ACC" w:rsidRDefault="00832717" w:rsidP="00A56EC5">
            <w:pPr>
              <w:numPr>
                <w:ilvl w:val="1"/>
                <w:numId w:val="9"/>
              </w:numPr>
              <w:spacing w:line="276" w:lineRule="auto"/>
              <w:rPr>
                <w:rFonts w:ascii="Arial" w:hAnsi="Arial" w:cs="Arial"/>
              </w:rPr>
            </w:pPr>
            <w:r w:rsidRPr="00CB4ACC">
              <w:rPr>
                <w:rFonts w:ascii="Arial" w:hAnsi="Arial" w:cs="Arial"/>
              </w:rPr>
              <w:t>kommerzielle Ziele verfolgen</w:t>
            </w:r>
          </w:p>
          <w:p w:rsidR="00832717" w:rsidRPr="00CB4ACC" w:rsidRDefault="00832717" w:rsidP="00A56EC5">
            <w:pPr>
              <w:numPr>
                <w:ilvl w:val="1"/>
                <w:numId w:val="9"/>
              </w:numPr>
              <w:spacing w:line="276" w:lineRule="auto"/>
              <w:rPr>
                <w:rFonts w:ascii="Arial" w:hAnsi="Arial" w:cs="Arial"/>
              </w:rPr>
            </w:pPr>
            <w:r w:rsidRPr="00CB4ACC">
              <w:rPr>
                <w:rFonts w:ascii="Arial" w:hAnsi="Arial" w:cs="Arial"/>
              </w:rPr>
              <w:t>sexistische, rassistische oder diskriminierende Ziele verfolgen</w:t>
            </w:r>
          </w:p>
          <w:p w:rsidR="00832717" w:rsidRPr="00CB4ACC" w:rsidRDefault="00832717" w:rsidP="00A56EC5">
            <w:pPr>
              <w:pStyle w:val="Listenabsatz"/>
              <w:numPr>
                <w:ilvl w:val="0"/>
                <w:numId w:val="9"/>
              </w:numPr>
              <w:spacing w:before="0" w:after="0" w:line="276" w:lineRule="auto"/>
              <w:rPr>
                <w:rFonts w:cs="Arial"/>
                <w:color w:val="000000" w:themeColor="text1"/>
              </w:rPr>
            </w:pPr>
            <w:r w:rsidRPr="00CB4ACC">
              <w:rPr>
                <w:rFonts w:cs="Arial"/>
                <w:color w:val="000000" w:themeColor="text1"/>
              </w:rPr>
              <w:t xml:space="preserve">Der Zeitraum der Projektumsetzung beginnt mit Erhalt des Förderbescheids. Zur besseren Nachvollziehbarkeit des Projektstandes und Planung der Auszahlung der Fördergelder, ist bis zum 01.11.2024 eine </w:t>
            </w:r>
            <w:proofErr w:type="spellStart"/>
            <w:r w:rsidRPr="00CB4ACC">
              <w:rPr>
                <w:rFonts w:cs="Arial"/>
                <w:color w:val="000000" w:themeColor="text1"/>
              </w:rPr>
              <w:t>Zwischenstandsmeldung</w:t>
            </w:r>
            <w:proofErr w:type="spellEnd"/>
            <w:r w:rsidRPr="00CB4ACC">
              <w:rPr>
                <w:rFonts w:cs="Arial"/>
                <w:color w:val="000000" w:themeColor="text1"/>
              </w:rPr>
              <w:t xml:space="preserve"> an den Fachdienst Partizipation, Ehrenamt und Sport zu entrichten.</w:t>
            </w:r>
          </w:p>
          <w:p w:rsidR="007969C8" w:rsidRPr="00CB4ACC" w:rsidRDefault="007969C8" w:rsidP="00A56EC5">
            <w:pPr>
              <w:spacing w:line="276" w:lineRule="auto"/>
              <w:rPr>
                <w:rFonts w:ascii="Arial" w:hAnsi="Arial" w:cs="Arial"/>
              </w:rPr>
            </w:pPr>
          </w:p>
        </w:tc>
      </w:tr>
      <w:tr w:rsidR="004F50F6" w:rsidTr="00956A0D">
        <w:trPr>
          <w:gridBefore w:val="1"/>
          <w:gridAfter w:val="1"/>
          <w:wBefore w:w="108" w:type="dxa"/>
          <w:wAfter w:w="83" w:type="dxa"/>
        </w:trPr>
        <w:tc>
          <w:tcPr>
            <w:tcW w:w="562" w:type="dxa"/>
            <w:gridSpan w:val="2"/>
          </w:tcPr>
          <w:p w:rsidR="004F50F6" w:rsidRPr="007969C8" w:rsidRDefault="007969C8" w:rsidP="00A56EC5">
            <w:pPr>
              <w:spacing w:line="276" w:lineRule="auto"/>
              <w:rPr>
                <w:rFonts w:ascii="Arial" w:hAnsi="Arial" w:cs="Arial"/>
                <w:b/>
              </w:rPr>
            </w:pPr>
            <w:r w:rsidRPr="007969C8">
              <w:rPr>
                <w:rFonts w:ascii="Arial" w:hAnsi="Arial" w:cs="Arial"/>
                <w:b/>
              </w:rPr>
              <w:lastRenderedPageBreak/>
              <w:t>§ 6</w:t>
            </w:r>
          </w:p>
        </w:tc>
        <w:tc>
          <w:tcPr>
            <w:tcW w:w="8500" w:type="dxa"/>
            <w:gridSpan w:val="2"/>
          </w:tcPr>
          <w:p w:rsidR="00BA3699" w:rsidRDefault="00BA3699" w:rsidP="00A56EC5">
            <w:pPr>
              <w:spacing w:line="276" w:lineRule="auto"/>
              <w:rPr>
                <w:rFonts w:ascii="Arial" w:hAnsi="Arial" w:cs="Arial"/>
                <w:b/>
              </w:rPr>
            </w:pPr>
            <w:r>
              <w:rPr>
                <w:rFonts w:ascii="Arial" w:hAnsi="Arial" w:cs="Arial"/>
                <w:b/>
              </w:rPr>
              <w:t>Verfahren und Jurybildung</w:t>
            </w:r>
          </w:p>
          <w:p w:rsidR="002247B9" w:rsidRPr="007969C8" w:rsidRDefault="002247B9" w:rsidP="00A56EC5">
            <w:pPr>
              <w:spacing w:line="276" w:lineRule="auto"/>
              <w:rPr>
                <w:rFonts w:ascii="Arial" w:hAnsi="Arial" w:cs="Arial"/>
                <w:b/>
              </w:rPr>
            </w:pPr>
          </w:p>
        </w:tc>
      </w:tr>
      <w:tr w:rsidR="007969C8" w:rsidTr="00956A0D">
        <w:trPr>
          <w:gridBefore w:val="1"/>
          <w:gridAfter w:val="1"/>
          <w:wBefore w:w="108" w:type="dxa"/>
          <w:wAfter w:w="83" w:type="dxa"/>
        </w:trPr>
        <w:tc>
          <w:tcPr>
            <w:tcW w:w="562" w:type="dxa"/>
            <w:gridSpan w:val="2"/>
          </w:tcPr>
          <w:p w:rsidR="007969C8" w:rsidRDefault="007969C8" w:rsidP="00A56EC5">
            <w:pPr>
              <w:spacing w:line="276" w:lineRule="auto"/>
              <w:rPr>
                <w:rFonts w:ascii="Arial" w:hAnsi="Arial" w:cs="Arial"/>
              </w:rPr>
            </w:pPr>
          </w:p>
        </w:tc>
        <w:tc>
          <w:tcPr>
            <w:tcW w:w="8500" w:type="dxa"/>
            <w:gridSpan w:val="2"/>
          </w:tcPr>
          <w:p w:rsidR="00BA3699" w:rsidRPr="00BA3699" w:rsidRDefault="00BA3699" w:rsidP="00A56EC5">
            <w:pPr>
              <w:numPr>
                <w:ilvl w:val="0"/>
                <w:numId w:val="11"/>
              </w:numPr>
              <w:spacing w:line="276" w:lineRule="auto"/>
              <w:rPr>
                <w:rFonts w:ascii="Arial" w:hAnsi="Arial" w:cs="Arial"/>
              </w:rPr>
            </w:pPr>
            <w:r w:rsidRPr="00BA3699">
              <w:rPr>
                <w:rFonts w:ascii="Arial" w:hAnsi="Arial" w:cs="Arial"/>
              </w:rPr>
              <w:t xml:space="preserve">Eingegangene Anträge werden zunächst durch die Verwaltung auf ihre Zulässigkeit geprüft. Wenn Anträge die formalen Kriterien erfüllen, werden sie einer Jury vorgelegt. </w:t>
            </w:r>
          </w:p>
          <w:p w:rsidR="00BA3699" w:rsidRPr="00BA3699" w:rsidRDefault="00BA3699" w:rsidP="00A56EC5">
            <w:pPr>
              <w:numPr>
                <w:ilvl w:val="0"/>
                <w:numId w:val="11"/>
              </w:numPr>
              <w:spacing w:line="276" w:lineRule="auto"/>
              <w:rPr>
                <w:rFonts w:ascii="Arial" w:hAnsi="Arial" w:cs="Arial"/>
              </w:rPr>
            </w:pPr>
            <w:r w:rsidRPr="00BA3699">
              <w:rPr>
                <w:rFonts w:ascii="Arial" w:hAnsi="Arial" w:cs="Arial"/>
              </w:rPr>
              <w:t xml:space="preserve">Die Jury wird anlässlich der Vergabe des Ehrenamts-Budgets 2024 aus Einwohner*innen des Landkreises gebildet. </w:t>
            </w:r>
            <w:r w:rsidR="00331135">
              <w:rPr>
                <w:rFonts w:ascii="Arial" w:hAnsi="Arial" w:cs="Arial"/>
              </w:rPr>
              <w:t>Sie soll vorrangig aus jungen Menschen zwischen 14 bis einschließlich 26 Jahren und darüber hinaus aus Personen mit Erfahrung in der Jugendarbeit (haupt- und/oder ehrenamtlich) gebildet werden.</w:t>
            </w:r>
          </w:p>
          <w:p w:rsidR="00BA3699" w:rsidRPr="00BA3699" w:rsidRDefault="00BA3699" w:rsidP="00A56EC5">
            <w:pPr>
              <w:pStyle w:val="Listenabsatz"/>
              <w:numPr>
                <w:ilvl w:val="0"/>
                <w:numId w:val="11"/>
              </w:numPr>
              <w:spacing w:before="0" w:after="0" w:line="276" w:lineRule="auto"/>
              <w:contextualSpacing w:val="0"/>
              <w:rPr>
                <w:rFonts w:cs="Arial"/>
              </w:rPr>
            </w:pPr>
            <w:r w:rsidRPr="00BA3699">
              <w:rPr>
                <w:rFonts w:cs="Arial"/>
              </w:rPr>
              <w:t xml:space="preserve">Durch ein offenes Bewerbungsverfahren wird ein Bewerbungspool gebildet. Das Bewerbungsverfahren wird dabei über alle zur Verfügung stehenden Kommunikationskanäle (E-Mailings, </w:t>
            </w:r>
            <w:proofErr w:type="spellStart"/>
            <w:r w:rsidRPr="00BA3699">
              <w:rPr>
                <w:rFonts w:cs="Arial"/>
              </w:rPr>
              <w:t>Social</w:t>
            </w:r>
            <w:proofErr w:type="spellEnd"/>
            <w:r w:rsidRPr="00BA3699">
              <w:rPr>
                <w:rFonts w:cs="Arial"/>
              </w:rPr>
              <w:t>-Media, Pressemitteilung, ggf. schriftliche Anschreiben) beworben.</w:t>
            </w:r>
          </w:p>
          <w:p w:rsidR="00BA3699" w:rsidRPr="00BA3699" w:rsidRDefault="00BA3699" w:rsidP="00A56EC5">
            <w:pPr>
              <w:pStyle w:val="Listenabsatz"/>
              <w:numPr>
                <w:ilvl w:val="0"/>
                <w:numId w:val="11"/>
              </w:numPr>
              <w:spacing w:before="0" w:after="0" w:line="276" w:lineRule="auto"/>
              <w:contextualSpacing w:val="0"/>
              <w:rPr>
                <w:rFonts w:cs="Arial"/>
              </w:rPr>
            </w:pPr>
            <w:r w:rsidRPr="00BA3699">
              <w:rPr>
                <w:rFonts w:cs="Arial"/>
              </w:rPr>
              <w:t>Die Frist zur Bewerbung als Jurymitglied endet am</w:t>
            </w:r>
            <w:r w:rsidRPr="00BA3699">
              <w:rPr>
                <w:rFonts w:cs="Arial"/>
                <w:color w:val="FF0000"/>
              </w:rPr>
              <w:t xml:space="preserve"> </w:t>
            </w:r>
            <w:r w:rsidRPr="00BA3699">
              <w:rPr>
                <w:rFonts w:cs="Arial"/>
                <w:b/>
                <w:color w:val="000000" w:themeColor="text1"/>
              </w:rPr>
              <w:t>30. April 2024</w:t>
            </w:r>
            <w:r w:rsidRPr="00BA3699">
              <w:rPr>
                <w:rFonts w:cs="Arial"/>
                <w:b/>
              </w:rPr>
              <w:t>.</w:t>
            </w:r>
          </w:p>
          <w:p w:rsidR="00BA3699" w:rsidRPr="00BA3699" w:rsidRDefault="00BA3699" w:rsidP="00A56EC5">
            <w:pPr>
              <w:pStyle w:val="Listenabsatz"/>
              <w:numPr>
                <w:ilvl w:val="0"/>
                <w:numId w:val="11"/>
              </w:numPr>
              <w:spacing w:before="0" w:after="0" w:line="276" w:lineRule="auto"/>
              <w:contextualSpacing w:val="0"/>
              <w:rPr>
                <w:rFonts w:cs="Arial"/>
              </w:rPr>
            </w:pPr>
            <w:r w:rsidRPr="00BA3699">
              <w:rPr>
                <w:rFonts w:cs="Arial"/>
              </w:rPr>
              <w:t xml:space="preserve">Die Mitglieder der Jury werden quotengestützt ausgewählt (Altersgruppe, Geschlecht, Region). </w:t>
            </w:r>
            <w:r w:rsidRPr="00BA3699">
              <w:rPr>
                <w:rFonts w:eastAsiaTheme="minorEastAsia" w:cs="Arial"/>
                <w:color w:val="000000" w:themeColor="text1"/>
                <w:kern w:val="24"/>
              </w:rPr>
              <w:t>Die</w:t>
            </w:r>
            <w:r w:rsidRPr="00BA3699">
              <w:rPr>
                <w:rFonts w:cs="Arial"/>
              </w:rPr>
              <w:t xml:space="preserve"> Anzahl der Jurymitglieder sollte die Anzahl von 15 Personen nicht überschreiten. </w:t>
            </w:r>
            <w:r w:rsidR="00331135">
              <w:rPr>
                <w:rFonts w:cs="Arial"/>
              </w:rPr>
              <w:t>Angestrebt wird eine Mindestquote von 30% der Mitwirkenden in der Altersgruppe 14 bis einschließlich 26 Jahre.</w:t>
            </w:r>
          </w:p>
          <w:p w:rsidR="00BA3699" w:rsidRPr="00BA3699" w:rsidRDefault="00BA3699" w:rsidP="00A56EC5">
            <w:pPr>
              <w:numPr>
                <w:ilvl w:val="0"/>
                <w:numId w:val="11"/>
              </w:numPr>
              <w:spacing w:line="276" w:lineRule="auto"/>
              <w:rPr>
                <w:rFonts w:ascii="Arial" w:hAnsi="Arial" w:cs="Arial"/>
                <w:color w:val="000000" w:themeColor="text1"/>
              </w:rPr>
            </w:pPr>
            <w:r w:rsidRPr="00BA3699">
              <w:rPr>
                <w:rFonts w:ascii="Arial" w:hAnsi="Arial" w:cs="Arial"/>
                <w:color w:val="000000" w:themeColor="text1"/>
              </w:rPr>
              <w:t xml:space="preserve">Die Jury bewertet die einzelnen Projekte mit Hilfe eines Bewertungsbogens, woraus anschließend ein Ranking erstellt wird. Entsprechend des Rankings wird der gesamte Förderbetrag aufgeteilt, bis die Mittel ausgeschöpft sind. </w:t>
            </w:r>
          </w:p>
          <w:p w:rsidR="00BA3699" w:rsidRPr="00BA3699" w:rsidRDefault="00BA3699" w:rsidP="00A56EC5">
            <w:pPr>
              <w:pStyle w:val="Listenabsatz"/>
              <w:numPr>
                <w:ilvl w:val="0"/>
                <w:numId w:val="11"/>
              </w:numPr>
              <w:spacing w:before="0" w:after="0" w:line="276" w:lineRule="auto"/>
              <w:rPr>
                <w:rFonts w:cs="Arial"/>
              </w:rPr>
            </w:pPr>
            <w:r w:rsidRPr="00BA3699">
              <w:rPr>
                <w:rFonts w:cs="Arial"/>
                <w:color w:val="000000" w:themeColor="text1"/>
              </w:rPr>
              <w:t>Interessenkonflikte oder Befangenheit werden dadurch vermieden, dass betroffene Jury-Mitglieder eigene Projekte nicht mitbewerten und diese auch nicht über die Angaben des Antrages hinaus erläutern dürfen. Somit haben alle Projektanträge die gleichen Bedingungen bei der Jury-Bewertung</w:t>
            </w:r>
            <w:r>
              <w:rPr>
                <w:rFonts w:cs="Arial"/>
                <w:color w:val="000000" w:themeColor="text1"/>
              </w:rPr>
              <w:t>.</w:t>
            </w:r>
          </w:p>
          <w:p w:rsidR="007969C8" w:rsidRDefault="007969C8" w:rsidP="00A56EC5">
            <w:pPr>
              <w:spacing w:line="276" w:lineRule="auto"/>
              <w:rPr>
                <w:rFonts w:ascii="Arial" w:hAnsi="Arial" w:cs="Arial"/>
              </w:rPr>
            </w:pPr>
          </w:p>
        </w:tc>
      </w:tr>
      <w:tr w:rsidR="004F50F6" w:rsidTr="00956A0D">
        <w:trPr>
          <w:gridBefore w:val="1"/>
          <w:gridAfter w:val="1"/>
          <w:wBefore w:w="108" w:type="dxa"/>
          <w:wAfter w:w="83" w:type="dxa"/>
        </w:trPr>
        <w:tc>
          <w:tcPr>
            <w:tcW w:w="562" w:type="dxa"/>
            <w:gridSpan w:val="2"/>
          </w:tcPr>
          <w:p w:rsidR="004F50F6" w:rsidRPr="007969C8" w:rsidRDefault="007969C8" w:rsidP="00A56EC5">
            <w:pPr>
              <w:spacing w:line="276" w:lineRule="auto"/>
              <w:rPr>
                <w:rFonts w:ascii="Arial" w:hAnsi="Arial" w:cs="Arial"/>
                <w:b/>
              </w:rPr>
            </w:pPr>
            <w:r w:rsidRPr="007969C8">
              <w:rPr>
                <w:rFonts w:ascii="Arial" w:hAnsi="Arial" w:cs="Arial"/>
                <w:b/>
              </w:rPr>
              <w:t>§ 7</w:t>
            </w:r>
          </w:p>
        </w:tc>
        <w:tc>
          <w:tcPr>
            <w:tcW w:w="8500" w:type="dxa"/>
            <w:gridSpan w:val="2"/>
          </w:tcPr>
          <w:p w:rsidR="00BA3699" w:rsidRDefault="00BA3699" w:rsidP="00A56EC5">
            <w:pPr>
              <w:spacing w:line="276" w:lineRule="auto"/>
              <w:rPr>
                <w:rFonts w:ascii="Arial" w:hAnsi="Arial" w:cs="Arial"/>
                <w:b/>
              </w:rPr>
            </w:pPr>
            <w:r w:rsidRPr="00BA3699">
              <w:rPr>
                <w:rFonts w:ascii="Arial" w:hAnsi="Arial" w:cs="Arial"/>
                <w:b/>
              </w:rPr>
              <w:t>Verwendungsnachweis</w:t>
            </w:r>
          </w:p>
          <w:p w:rsidR="002247B9" w:rsidRDefault="002247B9" w:rsidP="00A56EC5">
            <w:pPr>
              <w:spacing w:line="276" w:lineRule="auto"/>
              <w:rPr>
                <w:rFonts w:ascii="Arial" w:hAnsi="Arial" w:cs="Arial"/>
              </w:rPr>
            </w:pPr>
          </w:p>
        </w:tc>
      </w:tr>
      <w:tr w:rsidR="007969C8" w:rsidTr="00956A0D">
        <w:trPr>
          <w:gridBefore w:val="1"/>
          <w:gridAfter w:val="1"/>
          <w:wBefore w:w="108" w:type="dxa"/>
          <w:wAfter w:w="83" w:type="dxa"/>
        </w:trPr>
        <w:tc>
          <w:tcPr>
            <w:tcW w:w="562" w:type="dxa"/>
            <w:gridSpan w:val="2"/>
          </w:tcPr>
          <w:p w:rsidR="007969C8" w:rsidRPr="00BA3699" w:rsidRDefault="007969C8" w:rsidP="00A56EC5">
            <w:pPr>
              <w:spacing w:line="276" w:lineRule="auto"/>
              <w:rPr>
                <w:rFonts w:ascii="Arial" w:hAnsi="Arial" w:cs="Arial"/>
              </w:rPr>
            </w:pPr>
          </w:p>
        </w:tc>
        <w:tc>
          <w:tcPr>
            <w:tcW w:w="8500" w:type="dxa"/>
            <w:gridSpan w:val="2"/>
          </w:tcPr>
          <w:p w:rsidR="00BA3699" w:rsidRPr="00BA3699" w:rsidRDefault="00BA3699" w:rsidP="00A56EC5">
            <w:pPr>
              <w:numPr>
                <w:ilvl w:val="0"/>
                <w:numId w:val="14"/>
              </w:numPr>
              <w:spacing w:line="276" w:lineRule="auto"/>
              <w:rPr>
                <w:rFonts w:ascii="Arial" w:hAnsi="Arial" w:cs="Arial"/>
              </w:rPr>
            </w:pPr>
            <w:r w:rsidRPr="00BA3699">
              <w:rPr>
                <w:rFonts w:ascii="Arial" w:hAnsi="Arial" w:cs="Arial"/>
              </w:rPr>
              <w:t xml:space="preserve">Grundsätzlich erfolgt eine Auszahlung der Fördersumme erst, wenn die Verwendung nachgewiesen und der Förderzweck erreicht ist. Die zweckentsprechende Verwendung ist durch das mit der Förderzusage versendete Formular sowie den dazugehörigen Belegen (in Kopie) dem Fachdienst Partizipation, Ehrenamt und Sport nachzuweisen. In begründeten Ausnahmefällen und nach Absprache ist auch ein abweichendes Verfahren möglich. Eine Barauszahlung ist ausgeschlossen. </w:t>
            </w:r>
          </w:p>
          <w:p w:rsidR="00BA3699" w:rsidRPr="00BA3699" w:rsidRDefault="00BA3699" w:rsidP="00A56EC5">
            <w:pPr>
              <w:numPr>
                <w:ilvl w:val="0"/>
                <w:numId w:val="14"/>
              </w:numPr>
              <w:spacing w:line="276" w:lineRule="auto"/>
              <w:rPr>
                <w:rFonts w:ascii="Arial" w:hAnsi="Arial" w:cs="Arial"/>
              </w:rPr>
            </w:pPr>
            <w:r w:rsidRPr="00BA3699">
              <w:rPr>
                <w:rFonts w:ascii="Arial" w:hAnsi="Arial" w:cs="Arial"/>
              </w:rPr>
              <w:t xml:space="preserve">Als Nachweise dienen Belege, die folgende Angaben enthalten: </w:t>
            </w:r>
          </w:p>
          <w:p w:rsidR="00BA3699" w:rsidRPr="00BA3699" w:rsidRDefault="00BA3699" w:rsidP="00A56EC5">
            <w:pPr>
              <w:numPr>
                <w:ilvl w:val="1"/>
                <w:numId w:val="14"/>
              </w:numPr>
              <w:spacing w:line="276" w:lineRule="auto"/>
              <w:rPr>
                <w:rFonts w:ascii="Arial" w:hAnsi="Arial" w:cs="Arial"/>
              </w:rPr>
            </w:pPr>
            <w:r w:rsidRPr="00BA3699">
              <w:rPr>
                <w:rFonts w:ascii="Arial" w:hAnsi="Arial" w:cs="Arial"/>
              </w:rPr>
              <w:t>den vollständigen Namen und die vollständige Anschrift der leistenden Unternehmenden und der Leistungsempfangenden</w:t>
            </w:r>
          </w:p>
          <w:p w:rsidR="00BA3699" w:rsidRPr="00BA3699" w:rsidRDefault="00BA3699" w:rsidP="00A56EC5">
            <w:pPr>
              <w:numPr>
                <w:ilvl w:val="1"/>
                <w:numId w:val="14"/>
              </w:numPr>
              <w:spacing w:line="276" w:lineRule="auto"/>
              <w:rPr>
                <w:rFonts w:ascii="Arial" w:hAnsi="Arial" w:cs="Arial"/>
              </w:rPr>
            </w:pPr>
            <w:r w:rsidRPr="00BA3699">
              <w:rPr>
                <w:rFonts w:ascii="Arial" w:hAnsi="Arial" w:cs="Arial"/>
              </w:rPr>
              <w:t>die dem leistenden Unternehmen vom Finanzamt erteilte Steuernummer oder die vom Bundeszentralamt für Steuern erteilte Umsatzsteuer-Identifikationsnummer</w:t>
            </w:r>
          </w:p>
          <w:p w:rsidR="00BA3699" w:rsidRPr="00BA3699" w:rsidRDefault="00BA3699" w:rsidP="00A56EC5">
            <w:pPr>
              <w:numPr>
                <w:ilvl w:val="1"/>
                <w:numId w:val="14"/>
              </w:numPr>
              <w:spacing w:line="276" w:lineRule="auto"/>
              <w:rPr>
                <w:rFonts w:ascii="Arial" w:hAnsi="Arial" w:cs="Arial"/>
              </w:rPr>
            </w:pPr>
            <w:r w:rsidRPr="00BA3699">
              <w:rPr>
                <w:rFonts w:ascii="Arial" w:hAnsi="Arial" w:cs="Arial"/>
              </w:rPr>
              <w:t>das Ausstellungsdatum</w:t>
            </w:r>
          </w:p>
          <w:p w:rsidR="00BA3699" w:rsidRPr="00BA3699" w:rsidRDefault="00BA3699" w:rsidP="00A56EC5">
            <w:pPr>
              <w:numPr>
                <w:ilvl w:val="1"/>
                <w:numId w:val="14"/>
              </w:numPr>
              <w:spacing w:line="276" w:lineRule="auto"/>
              <w:rPr>
                <w:rFonts w:ascii="Arial" w:hAnsi="Arial" w:cs="Arial"/>
              </w:rPr>
            </w:pPr>
            <w:r w:rsidRPr="00BA3699">
              <w:rPr>
                <w:rFonts w:ascii="Arial" w:hAnsi="Arial" w:cs="Arial"/>
              </w:rPr>
              <w:t>die Menge und die Art (handelsübliche Bezeichnung) der gelieferten Gegenstände oder den Umfang und die Art der sonstigen Leistung</w:t>
            </w:r>
          </w:p>
          <w:p w:rsidR="00BA3699" w:rsidRDefault="00BA3699" w:rsidP="00A56EC5">
            <w:pPr>
              <w:numPr>
                <w:ilvl w:val="0"/>
                <w:numId w:val="14"/>
              </w:numPr>
              <w:spacing w:line="276" w:lineRule="auto"/>
              <w:rPr>
                <w:rFonts w:ascii="Arial" w:hAnsi="Arial" w:cs="Arial"/>
              </w:rPr>
            </w:pPr>
            <w:r w:rsidRPr="00BA3699">
              <w:rPr>
                <w:rFonts w:ascii="Arial" w:hAnsi="Arial" w:cs="Arial"/>
              </w:rPr>
              <w:t>Mit Rechnung ist ein Foto der geförderten Maßnahme oder Anschaffung einzureichen. Zum Foto gelten die Bestimmungen nach § 9 Abs. 2.</w:t>
            </w:r>
          </w:p>
          <w:p w:rsidR="00BA3699" w:rsidRPr="00BA3699" w:rsidRDefault="00BA3699" w:rsidP="00A56EC5">
            <w:pPr>
              <w:numPr>
                <w:ilvl w:val="0"/>
                <w:numId w:val="14"/>
              </w:numPr>
              <w:spacing w:line="276" w:lineRule="auto"/>
              <w:rPr>
                <w:rFonts w:ascii="Arial" w:hAnsi="Arial" w:cs="Arial"/>
              </w:rPr>
            </w:pPr>
            <w:r w:rsidRPr="00BA3699">
              <w:rPr>
                <w:rFonts w:ascii="Arial" w:hAnsi="Arial" w:cs="Arial"/>
              </w:rPr>
              <w:t xml:space="preserve">Im Falle einer Anschaffung von Maschinen, technischen Einrichtungen oder Geräten sind sie, ab dem Zeitpunkt ihrer Anschaffung, ihrem Zuwendungszweck entsprechend zu verwenden. Die Dauer der zweckentsprechenden Verwendung </w:t>
            </w:r>
            <w:r w:rsidR="00780BF1">
              <w:rPr>
                <w:rFonts w:ascii="Arial" w:hAnsi="Arial" w:cs="Arial"/>
              </w:rPr>
              <w:t>beträgt</w:t>
            </w:r>
            <w:r w:rsidRPr="00BA3699">
              <w:rPr>
                <w:rFonts w:ascii="Arial" w:hAnsi="Arial" w:cs="Arial"/>
              </w:rPr>
              <w:t xml:space="preserve"> zwei Jahre</w:t>
            </w:r>
            <w:bookmarkStart w:id="2" w:name="_GoBack"/>
            <w:bookmarkEnd w:id="2"/>
            <w:r w:rsidRPr="00BA3699">
              <w:rPr>
                <w:rFonts w:ascii="Arial" w:hAnsi="Arial" w:cs="Arial"/>
              </w:rPr>
              <w:t>. Sie dürfen in diesem Zeitraum nicht veräußert oder anderweitig benutzt werden.</w:t>
            </w:r>
          </w:p>
          <w:p w:rsidR="007969C8" w:rsidRDefault="00BA3699" w:rsidP="00A56EC5">
            <w:pPr>
              <w:numPr>
                <w:ilvl w:val="0"/>
                <w:numId w:val="14"/>
              </w:numPr>
              <w:spacing w:line="276" w:lineRule="auto"/>
              <w:rPr>
                <w:rFonts w:ascii="Arial" w:hAnsi="Arial" w:cs="Arial"/>
              </w:rPr>
            </w:pPr>
            <w:r w:rsidRPr="00BA3699">
              <w:rPr>
                <w:rFonts w:ascii="Arial" w:hAnsi="Arial" w:cs="Arial"/>
              </w:rPr>
              <w:t>Sollte sich in diesem Zeitraum der Verwendungszweck ändern, hat der*die Zuwendungsempfänger*in die Bewilligungsstelle umgehend darüber zu informieren.</w:t>
            </w:r>
          </w:p>
          <w:p w:rsidR="00780BF1" w:rsidRPr="00780BF1" w:rsidRDefault="00780BF1" w:rsidP="00780BF1">
            <w:pPr>
              <w:spacing w:line="276" w:lineRule="auto"/>
              <w:rPr>
                <w:rFonts w:ascii="Arial" w:hAnsi="Arial" w:cs="Arial"/>
              </w:rPr>
            </w:pPr>
          </w:p>
        </w:tc>
      </w:tr>
      <w:tr w:rsidR="004F50F6" w:rsidTr="00956A0D">
        <w:trPr>
          <w:gridBefore w:val="1"/>
          <w:gridAfter w:val="1"/>
          <w:wBefore w:w="108" w:type="dxa"/>
          <w:wAfter w:w="83" w:type="dxa"/>
        </w:trPr>
        <w:tc>
          <w:tcPr>
            <w:tcW w:w="562" w:type="dxa"/>
            <w:gridSpan w:val="2"/>
          </w:tcPr>
          <w:p w:rsidR="004F50F6" w:rsidRPr="007969C8" w:rsidRDefault="007969C8" w:rsidP="00A56EC5">
            <w:pPr>
              <w:spacing w:line="276" w:lineRule="auto"/>
              <w:rPr>
                <w:rFonts w:ascii="Arial" w:hAnsi="Arial" w:cs="Arial"/>
                <w:b/>
              </w:rPr>
            </w:pPr>
            <w:r w:rsidRPr="007969C8">
              <w:rPr>
                <w:rFonts w:ascii="Arial" w:hAnsi="Arial" w:cs="Arial"/>
                <w:b/>
              </w:rPr>
              <w:t>§ 8</w:t>
            </w:r>
          </w:p>
        </w:tc>
        <w:tc>
          <w:tcPr>
            <w:tcW w:w="8500" w:type="dxa"/>
            <w:gridSpan w:val="2"/>
          </w:tcPr>
          <w:p w:rsidR="002247B9" w:rsidRPr="00A56EC5" w:rsidRDefault="002247B9" w:rsidP="00A56EC5">
            <w:pPr>
              <w:spacing w:line="276" w:lineRule="auto"/>
              <w:rPr>
                <w:rFonts w:ascii="Arial" w:hAnsi="Arial" w:cs="Arial"/>
                <w:b/>
              </w:rPr>
            </w:pPr>
          </w:p>
        </w:tc>
      </w:tr>
      <w:tr w:rsidR="007969C8" w:rsidTr="00956A0D">
        <w:trPr>
          <w:gridBefore w:val="1"/>
          <w:gridAfter w:val="1"/>
          <w:wBefore w:w="108" w:type="dxa"/>
          <w:wAfter w:w="83" w:type="dxa"/>
        </w:trPr>
        <w:tc>
          <w:tcPr>
            <w:tcW w:w="562" w:type="dxa"/>
            <w:gridSpan w:val="2"/>
          </w:tcPr>
          <w:p w:rsidR="007969C8" w:rsidRDefault="007969C8" w:rsidP="00A56EC5">
            <w:pPr>
              <w:spacing w:line="276" w:lineRule="auto"/>
              <w:rPr>
                <w:rFonts w:ascii="Arial" w:hAnsi="Arial" w:cs="Arial"/>
              </w:rPr>
            </w:pPr>
          </w:p>
        </w:tc>
        <w:tc>
          <w:tcPr>
            <w:tcW w:w="8500" w:type="dxa"/>
            <w:gridSpan w:val="2"/>
          </w:tcPr>
          <w:p w:rsidR="00A56EC5" w:rsidRPr="0035277F" w:rsidRDefault="00A56EC5" w:rsidP="00A56EC5">
            <w:pPr>
              <w:pStyle w:val="Listenabsatz"/>
              <w:numPr>
                <w:ilvl w:val="0"/>
                <w:numId w:val="18"/>
              </w:numPr>
              <w:spacing w:before="0" w:after="0" w:line="276" w:lineRule="auto"/>
            </w:pPr>
            <w:r w:rsidRPr="0035277F">
              <w:t xml:space="preserve">Mit der Teilnahme erklären die Teilnehmenden das Einverständnis zur Namensnennung und Bildberichterstattung im Rahmen der Öffentlichkeitsarbeit des Landkreises Marburg-Biedenkopf. Falls Personen auf einem eingesendeten Bild zu sehen sind, ist von diesen das Einverständnis für die Veröffentlichung einzuholen. Bei </w:t>
            </w:r>
            <w:r>
              <w:t>Minderjährigen</w:t>
            </w:r>
            <w:r w:rsidRPr="0035277F">
              <w:t xml:space="preserve"> ist das schriftliche Einverständnis der Eltern erforderlich. </w:t>
            </w:r>
          </w:p>
          <w:p w:rsidR="00A56EC5" w:rsidRPr="0035277F" w:rsidRDefault="00A56EC5" w:rsidP="00A56EC5">
            <w:pPr>
              <w:pStyle w:val="Listenabsatz"/>
              <w:numPr>
                <w:ilvl w:val="0"/>
                <w:numId w:val="18"/>
              </w:numPr>
              <w:spacing w:before="0" w:after="0" w:line="276" w:lineRule="auto"/>
            </w:pPr>
            <w:r w:rsidRPr="0035277F">
              <w:t>Für die Öffentlichkeitsarbeit steht es den Einreichenden frei, ein aussagekräftiges Foto der Bewerbung zu § 2 beizulegen. Die Einreichenden r</w:t>
            </w:r>
            <w:r>
              <w:t>äumen gleichzeitig dem Kreisaus</w:t>
            </w:r>
            <w:r w:rsidRPr="0035277F">
              <w:t xml:space="preserve">schuss des Landkreises Marburg-Biedenkopf das zeitlich und räumlich unbegrenzte Recht ein, diese Bilder für Veröffentlichungen mit dem Themenbezug </w:t>
            </w:r>
            <w:r>
              <w:t>Jugendpartizipation</w:t>
            </w:r>
            <w:r w:rsidRPr="0035277F">
              <w:t xml:space="preserve">, z.B. für Pressemitteilungen, Präsentationen, Informationsbroschüren, öffentliche Vorführungen, Verwendung in elektronischen Medien oder im Internet oder in vergleichbaren Medien zu nutzen. Ein Honorar oder eine Vergütung </w:t>
            </w:r>
            <w:proofErr w:type="gramStart"/>
            <w:r w:rsidRPr="0035277F">
              <w:t>wird</w:t>
            </w:r>
            <w:proofErr w:type="gramEnd"/>
            <w:r w:rsidRPr="0035277F">
              <w:t xml:space="preserve"> nicht gezahlt. Die Einreichenden müssen sicherstellen, dass auf den Fotos befindliche Personen mit der Veröffentlichung ihres Fotos einverstanden sind.</w:t>
            </w:r>
          </w:p>
          <w:p w:rsidR="00A56EC5" w:rsidRPr="0035277F" w:rsidRDefault="00A56EC5" w:rsidP="00A56EC5">
            <w:pPr>
              <w:pStyle w:val="Listenabsatz"/>
              <w:numPr>
                <w:ilvl w:val="0"/>
                <w:numId w:val="18"/>
              </w:numPr>
              <w:spacing w:before="0" w:after="0" w:line="276" w:lineRule="auto"/>
            </w:pPr>
            <w:r w:rsidRPr="0035277F">
              <w:t xml:space="preserve">Personenbezogene Daten der Antragsstellenden werden nur solange aufbewahrt, wie dies für den Zweck der Bearbeitung der Beantragung und gegebenenfalls späteren Durchführung des Projekts erforderlich ist. Im Falle einer Förderzusage werden vertragsrechtlich relevante Daten für fünf Jahre gespeichert, andernfalls werden die Daten nach spätestens sechs Monaten nach ihrer Erhebung gelöscht. </w:t>
            </w:r>
          </w:p>
          <w:p w:rsidR="00A56EC5" w:rsidRPr="0035277F" w:rsidRDefault="00A56EC5" w:rsidP="00A56EC5">
            <w:pPr>
              <w:pStyle w:val="Listenabsatz"/>
              <w:numPr>
                <w:ilvl w:val="0"/>
                <w:numId w:val="18"/>
              </w:numPr>
              <w:spacing w:before="0" w:after="0" w:line="276" w:lineRule="auto"/>
            </w:pPr>
            <w:r w:rsidRPr="0035277F">
              <w:t>Nach der Datenschutz-Grundverordnung stehen Ihnen folgende Recht</w:t>
            </w:r>
            <w:r>
              <w:t>e</w:t>
            </w:r>
            <w:r w:rsidRPr="0035277F">
              <w:t xml:space="preserve"> zu: Werden Ihre personenbezogenen Daten verarbeitet, so haben Sie das Recht Auskunft über die zu Ihrer Person gespeicherten Daten zu erhalten (Art. 15 DSGVO).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 Sollten Sie von Ihren oben genannten Rechten Gebrauch machen, prüft die öffentliche Stelle, ob die gesetzlichen Voraussetzungen hierfür erfüllt sind. Weiterhin besteht ein Beschwerderecht beim Landesbeauftragten für den Datenschutz (Postfach 3164, 65189 Wiesbaden, E-Mail: poststelle@datenschutz.hessen.de).</w:t>
            </w:r>
          </w:p>
          <w:p w:rsidR="007969C8" w:rsidRDefault="007969C8" w:rsidP="00A56EC5">
            <w:pPr>
              <w:spacing w:line="276" w:lineRule="auto"/>
              <w:rPr>
                <w:rFonts w:ascii="Arial" w:hAnsi="Arial" w:cs="Arial"/>
              </w:rPr>
            </w:pPr>
          </w:p>
        </w:tc>
      </w:tr>
    </w:tbl>
    <w:p w:rsidR="004F50F6" w:rsidRPr="004F50F6" w:rsidRDefault="004F50F6" w:rsidP="00A56EC5">
      <w:pPr>
        <w:spacing w:after="0" w:line="276" w:lineRule="auto"/>
        <w:rPr>
          <w:rFonts w:ascii="Arial" w:hAnsi="Arial" w:cs="Arial"/>
        </w:rPr>
      </w:pPr>
    </w:p>
    <w:sectPr w:rsidR="004F50F6" w:rsidRPr="004F50F6">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1E7" w:rsidRDefault="002871E7" w:rsidP="004F50F6">
      <w:pPr>
        <w:spacing w:after="0" w:line="240" w:lineRule="auto"/>
      </w:pPr>
      <w:r>
        <w:separator/>
      </w:r>
    </w:p>
  </w:endnote>
  <w:endnote w:type="continuationSeparator" w:id="0">
    <w:p w:rsidR="002871E7" w:rsidRDefault="002871E7" w:rsidP="004F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479517"/>
      <w:docPartObj>
        <w:docPartGallery w:val="Page Numbers (Bottom of Page)"/>
        <w:docPartUnique/>
      </w:docPartObj>
    </w:sdtPr>
    <w:sdtEndPr/>
    <w:sdtContent>
      <w:sdt>
        <w:sdtPr>
          <w:id w:val="-1769616900"/>
          <w:docPartObj>
            <w:docPartGallery w:val="Page Numbers (Top of Page)"/>
            <w:docPartUnique/>
          </w:docPartObj>
        </w:sdtPr>
        <w:sdtEndPr/>
        <w:sdtContent>
          <w:p w:rsidR="002871E7" w:rsidRDefault="002871E7">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2871E7" w:rsidRDefault="002871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1E7" w:rsidRDefault="002871E7" w:rsidP="004F50F6">
      <w:pPr>
        <w:spacing w:after="0" w:line="240" w:lineRule="auto"/>
      </w:pPr>
      <w:r>
        <w:separator/>
      </w:r>
    </w:p>
  </w:footnote>
  <w:footnote w:type="continuationSeparator" w:id="0">
    <w:p w:rsidR="002871E7" w:rsidRDefault="002871E7" w:rsidP="004F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1E7" w:rsidRDefault="002871E7">
    <w:pPr>
      <w:pStyle w:val="Kopfzeile"/>
    </w:pPr>
    <w:r>
      <w:rPr>
        <w:noProof/>
      </w:rPr>
      <w:drawing>
        <wp:anchor distT="0" distB="0" distL="114300" distR="114300" simplePos="0" relativeHeight="251659264" behindDoc="1" locked="0" layoutInCell="1" allowOverlap="1" wp14:anchorId="783C2556" wp14:editId="36714E9A">
          <wp:simplePos x="0" y="0"/>
          <wp:positionH relativeFrom="margin">
            <wp:align>right</wp:align>
          </wp:positionH>
          <wp:positionV relativeFrom="paragraph">
            <wp:posOffset>-76835</wp:posOffset>
          </wp:positionV>
          <wp:extent cx="904875" cy="970280"/>
          <wp:effectExtent l="0" t="0" r="9525" b="1270"/>
          <wp:wrapTight wrapText="bothSides">
            <wp:wrapPolygon edited="0">
              <wp:start x="0" y="0"/>
              <wp:lineTo x="0" y="21204"/>
              <wp:lineTo x="21373" y="21204"/>
              <wp:lineTo x="2137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K_50_CMYK.jpg"/>
                  <pic:cNvPicPr/>
                </pic:nvPicPr>
                <pic:blipFill>
                  <a:blip r:embed="rId1">
                    <a:extLst>
                      <a:ext uri="{28A0092B-C50C-407E-A947-70E740481C1C}">
                        <a14:useLocalDpi xmlns:a14="http://schemas.microsoft.com/office/drawing/2010/main" val="0"/>
                      </a:ext>
                    </a:extLst>
                  </a:blip>
                  <a:stretch>
                    <a:fillRect/>
                  </a:stretch>
                </pic:blipFill>
                <pic:spPr>
                  <a:xfrm>
                    <a:off x="0" y="0"/>
                    <a:ext cx="904875" cy="970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D4D"/>
    <w:multiLevelType w:val="hybridMultilevel"/>
    <w:tmpl w:val="7648172C"/>
    <w:lvl w:ilvl="0" w:tplc="04070015">
      <w:start w:val="1"/>
      <w:numFmt w:val="decimal"/>
      <w:lvlText w:val="(%1)"/>
      <w:lvlJc w:val="left"/>
      <w:pPr>
        <w:ind w:left="50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 w15:restartNumberingAfterBreak="0">
    <w:nsid w:val="035F00F0"/>
    <w:multiLevelType w:val="hybridMultilevel"/>
    <w:tmpl w:val="5CFC9788"/>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 w15:restartNumberingAfterBreak="0">
    <w:nsid w:val="040F5597"/>
    <w:multiLevelType w:val="hybridMultilevel"/>
    <w:tmpl w:val="700AAF7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89D119B"/>
    <w:multiLevelType w:val="hybridMultilevel"/>
    <w:tmpl w:val="26723B20"/>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 w15:restartNumberingAfterBreak="0">
    <w:nsid w:val="0E160901"/>
    <w:multiLevelType w:val="hybridMultilevel"/>
    <w:tmpl w:val="4664C296"/>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E980B40"/>
    <w:multiLevelType w:val="hybridMultilevel"/>
    <w:tmpl w:val="B4769CF8"/>
    <w:lvl w:ilvl="0" w:tplc="FB70A25C">
      <w:start w:val="1"/>
      <w:numFmt w:val="decimal"/>
      <w:lvlText w:val="(%1)"/>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C204E5"/>
    <w:multiLevelType w:val="hybridMultilevel"/>
    <w:tmpl w:val="76A03A7C"/>
    <w:lvl w:ilvl="0" w:tplc="FB70A25C">
      <w:start w:val="1"/>
      <w:numFmt w:val="decimal"/>
      <w:lvlText w:val="(%1)"/>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222ABD"/>
    <w:multiLevelType w:val="hybridMultilevel"/>
    <w:tmpl w:val="C554C56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E7930CF"/>
    <w:multiLevelType w:val="hybridMultilevel"/>
    <w:tmpl w:val="16A4FC62"/>
    <w:lvl w:ilvl="0" w:tplc="FB70A25C">
      <w:start w:val="1"/>
      <w:numFmt w:val="decimal"/>
      <w:lvlText w:val="(%1)"/>
      <w:lvlJc w:val="left"/>
      <w:pPr>
        <w:ind w:left="-20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19">
      <w:start w:val="1"/>
      <w:numFmt w:val="lowerLetter"/>
      <w:lvlText w:val="%2."/>
      <w:lvlJc w:val="left"/>
      <w:pPr>
        <w:ind w:left="512" w:hanging="360"/>
      </w:pPr>
    </w:lvl>
    <w:lvl w:ilvl="2" w:tplc="0407001B" w:tentative="1">
      <w:start w:val="1"/>
      <w:numFmt w:val="lowerRoman"/>
      <w:lvlText w:val="%3."/>
      <w:lvlJc w:val="right"/>
      <w:pPr>
        <w:ind w:left="1232" w:hanging="180"/>
      </w:pPr>
    </w:lvl>
    <w:lvl w:ilvl="3" w:tplc="0407000F" w:tentative="1">
      <w:start w:val="1"/>
      <w:numFmt w:val="decimal"/>
      <w:lvlText w:val="%4."/>
      <w:lvlJc w:val="left"/>
      <w:pPr>
        <w:ind w:left="1952" w:hanging="360"/>
      </w:pPr>
    </w:lvl>
    <w:lvl w:ilvl="4" w:tplc="04070019" w:tentative="1">
      <w:start w:val="1"/>
      <w:numFmt w:val="lowerLetter"/>
      <w:lvlText w:val="%5."/>
      <w:lvlJc w:val="left"/>
      <w:pPr>
        <w:ind w:left="2672" w:hanging="360"/>
      </w:pPr>
    </w:lvl>
    <w:lvl w:ilvl="5" w:tplc="0407001B" w:tentative="1">
      <w:start w:val="1"/>
      <w:numFmt w:val="lowerRoman"/>
      <w:lvlText w:val="%6."/>
      <w:lvlJc w:val="right"/>
      <w:pPr>
        <w:ind w:left="3392" w:hanging="180"/>
      </w:pPr>
    </w:lvl>
    <w:lvl w:ilvl="6" w:tplc="0407000F" w:tentative="1">
      <w:start w:val="1"/>
      <w:numFmt w:val="decimal"/>
      <w:lvlText w:val="%7."/>
      <w:lvlJc w:val="left"/>
      <w:pPr>
        <w:ind w:left="4112" w:hanging="360"/>
      </w:pPr>
    </w:lvl>
    <w:lvl w:ilvl="7" w:tplc="04070019" w:tentative="1">
      <w:start w:val="1"/>
      <w:numFmt w:val="lowerLetter"/>
      <w:lvlText w:val="%8."/>
      <w:lvlJc w:val="left"/>
      <w:pPr>
        <w:ind w:left="4832" w:hanging="360"/>
      </w:pPr>
    </w:lvl>
    <w:lvl w:ilvl="8" w:tplc="0407001B" w:tentative="1">
      <w:start w:val="1"/>
      <w:numFmt w:val="lowerRoman"/>
      <w:lvlText w:val="%9."/>
      <w:lvlJc w:val="right"/>
      <w:pPr>
        <w:ind w:left="5552" w:hanging="180"/>
      </w:pPr>
    </w:lvl>
  </w:abstractNum>
  <w:abstractNum w:abstractNumId="9" w15:restartNumberingAfterBreak="0">
    <w:nsid w:val="215B60C4"/>
    <w:multiLevelType w:val="hybridMultilevel"/>
    <w:tmpl w:val="2E7E260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E6C208E"/>
    <w:multiLevelType w:val="hybridMultilevel"/>
    <w:tmpl w:val="20721FA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1" w15:restartNumberingAfterBreak="0">
    <w:nsid w:val="342B156D"/>
    <w:multiLevelType w:val="hybridMultilevel"/>
    <w:tmpl w:val="5D806082"/>
    <w:lvl w:ilvl="0" w:tplc="04070001">
      <w:start w:val="1"/>
      <w:numFmt w:val="bullet"/>
      <w:lvlText w:val=""/>
      <w:lvlJc w:val="left"/>
      <w:pPr>
        <w:ind w:left="3907" w:hanging="360"/>
      </w:pPr>
      <w:rPr>
        <w:rFonts w:ascii="Symbol" w:hAnsi="Symbol" w:hint="default"/>
      </w:rPr>
    </w:lvl>
    <w:lvl w:ilvl="1" w:tplc="04070003" w:tentative="1">
      <w:start w:val="1"/>
      <w:numFmt w:val="bullet"/>
      <w:lvlText w:val="o"/>
      <w:lvlJc w:val="left"/>
      <w:pPr>
        <w:ind w:left="4627" w:hanging="360"/>
      </w:pPr>
      <w:rPr>
        <w:rFonts w:ascii="Courier New" w:hAnsi="Courier New" w:cs="Courier New" w:hint="default"/>
      </w:rPr>
    </w:lvl>
    <w:lvl w:ilvl="2" w:tplc="04070005" w:tentative="1">
      <w:start w:val="1"/>
      <w:numFmt w:val="bullet"/>
      <w:lvlText w:val=""/>
      <w:lvlJc w:val="left"/>
      <w:pPr>
        <w:ind w:left="5347" w:hanging="360"/>
      </w:pPr>
      <w:rPr>
        <w:rFonts w:ascii="Wingdings" w:hAnsi="Wingdings" w:hint="default"/>
      </w:rPr>
    </w:lvl>
    <w:lvl w:ilvl="3" w:tplc="04070001" w:tentative="1">
      <w:start w:val="1"/>
      <w:numFmt w:val="bullet"/>
      <w:lvlText w:val=""/>
      <w:lvlJc w:val="left"/>
      <w:pPr>
        <w:ind w:left="6067" w:hanging="360"/>
      </w:pPr>
      <w:rPr>
        <w:rFonts w:ascii="Symbol" w:hAnsi="Symbol" w:hint="default"/>
      </w:rPr>
    </w:lvl>
    <w:lvl w:ilvl="4" w:tplc="04070003" w:tentative="1">
      <w:start w:val="1"/>
      <w:numFmt w:val="bullet"/>
      <w:lvlText w:val="o"/>
      <w:lvlJc w:val="left"/>
      <w:pPr>
        <w:ind w:left="6787" w:hanging="360"/>
      </w:pPr>
      <w:rPr>
        <w:rFonts w:ascii="Courier New" w:hAnsi="Courier New" w:cs="Courier New" w:hint="default"/>
      </w:rPr>
    </w:lvl>
    <w:lvl w:ilvl="5" w:tplc="04070005" w:tentative="1">
      <w:start w:val="1"/>
      <w:numFmt w:val="bullet"/>
      <w:lvlText w:val=""/>
      <w:lvlJc w:val="left"/>
      <w:pPr>
        <w:ind w:left="7507" w:hanging="360"/>
      </w:pPr>
      <w:rPr>
        <w:rFonts w:ascii="Wingdings" w:hAnsi="Wingdings" w:hint="default"/>
      </w:rPr>
    </w:lvl>
    <w:lvl w:ilvl="6" w:tplc="04070001" w:tentative="1">
      <w:start w:val="1"/>
      <w:numFmt w:val="bullet"/>
      <w:lvlText w:val=""/>
      <w:lvlJc w:val="left"/>
      <w:pPr>
        <w:ind w:left="8227" w:hanging="360"/>
      </w:pPr>
      <w:rPr>
        <w:rFonts w:ascii="Symbol" w:hAnsi="Symbol" w:hint="default"/>
      </w:rPr>
    </w:lvl>
    <w:lvl w:ilvl="7" w:tplc="04070003" w:tentative="1">
      <w:start w:val="1"/>
      <w:numFmt w:val="bullet"/>
      <w:lvlText w:val="o"/>
      <w:lvlJc w:val="left"/>
      <w:pPr>
        <w:ind w:left="8947" w:hanging="360"/>
      </w:pPr>
      <w:rPr>
        <w:rFonts w:ascii="Courier New" w:hAnsi="Courier New" w:cs="Courier New" w:hint="default"/>
      </w:rPr>
    </w:lvl>
    <w:lvl w:ilvl="8" w:tplc="04070005" w:tentative="1">
      <w:start w:val="1"/>
      <w:numFmt w:val="bullet"/>
      <w:lvlText w:val=""/>
      <w:lvlJc w:val="left"/>
      <w:pPr>
        <w:ind w:left="9667" w:hanging="360"/>
      </w:pPr>
      <w:rPr>
        <w:rFonts w:ascii="Wingdings" w:hAnsi="Wingdings" w:hint="default"/>
      </w:rPr>
    </w:lvl>
  </w:abstractNum>
  <w:abstractNum w:abstractNumId="12" w15:restartNumberingAfterBreak="0">
    <w:nsid w:val="35B64AB9"/>
    <w:multiLevelType w:val="hybridMultilevel"/>
    <w:tmpl w:val="A98AB8FA"/>
    <w:lvl w:ilvl="0" w:tplc="FB70A25C">
      <w:start w:val="1"/>
      <w:numFmt w:val="decimal"/>
      <w:lvlText w:val="(%1)"/>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D947DF9"/>
    <w:multiLevelType w:val="hybridMultilevel"/>
    <w:tmpl w:val="2E9EAE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6E7808"/>
    <w:multiLevelType w:val="hybridMultilevel"/>
    <w:tmpl w:val="23D4D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DA2F9C"/>
    <w:multiLevelType w:val="hybridMultilevel"/>
    <w:tmpl w:val="CBDA1CC4"/>
    <w:lvl w:ilvl="0" w:tplc="E28EDF38">
      <w:start w:val="1"/>
      <w:numFmt w:val="decimal"/>
      <w:lvlText w:val="(%1)"/>
      <w:lvlJc w:val="left"/>
      <w:pPr>
        <w:ind w:left="360" w:hanging="360"/>
      </w:pPr>
      <w:rPr>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F556D6B"/>
    <w:multiLevelType w:val="hybridMultilevel"/>
    <w:tmpl w:val="C318F6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715A59B0"/>
    <w:multiLevelType w:val="hybridMultilevel"/>
    <w:tmpl w:val="16A4FC62"/>
    <w:lvl w:ilvl="0" w:tplc="FB70A25C">
      <w:start w:val="1"/>
      <w:numFmt w:val="decimal"/>
      <w:lvlText w:val="(%1)"/>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CF8086B"/>
    <w:multiLevelType w:val="hybridMultilevel"/>
    <w:tmpl w:val="20E8C68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5"/>
  </w:num>
  <w:num w:numId="2">
    <w:abstractNumId w:val="0"/>
  </w:num>
  <w:num w:numId="3">
    <w:abstractNumId w:val="13"/>
  </w:num>
  <w:num w:numId="4">
    <w:abstractNumId w:val="16"/>
  </w:num>
  <w:num w:numId="5">
    <w:abstractNumId w:val="18"/>
  </w:num>
  <w:num w:numId="6">
    <w:abstractNumId w:val="6"/>
  </w:num>
  <w:num w:numId="7">
    <w:abstractNumId w:val="11"/>
  </w:num>
  <w:num w:numId="8">
    <w:abstractNumId w:val="14"/>
  </w:num>
  <w:num w:numId="9">
    <w:abstractNumId w:val="4"/>
  </w:num>
  <w:num w:numId="10">
    <w:abstractNumId w:val="8"/>
  </w:num>
  <w:num w:numId="11">
    <w:abstractNumId w:val="7"/>
  </w:num>
  <w:num w:numId="12">
    <w:abstractNumId w:val="10"/>
  </w:num>
  <w:num w:numId="13">
    <w:abstractNumId w:val="17"/>
  </w:num>
  <w:num w:numId="14">
    <w:abstractNumId w:val="2"/>
  </w:num>
  <w:num w:numId="15">
    <w:abstractNumId w:val="5"/>
  </w:num>
  <w:num w:numId="16">
    <w:abstractNumId w:val="3"/>
  </w:num>
  <w:num w:numId="17">
    <w:abstractNumId w:val="1"/>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F6"/>
    <w:rsid w:val="00021DEB"/>
    <w:rsid w:val="002247B9"/>
    <w:rsid w:val="002871E7"/>
    <w:rsid w:val="00303D47"/>
    <w:rsid w:val="00331135"/>
    <w:rsid w:val="004F50F6"/>
    <w:rsid w:val="005B612A"/>
    <w:rsid w:val="00780BF1"/>
    <w:rsid w:val="007969C8"/>
    <w:rsid w:val="00832717"/>
    <w:rsid w:val="00853739"/>
    <w:rsid w:val="00956A0D"/>
    <w:rsid w:val="00A56EC5"/>
    <w:rsid w:val="00BA3699"/>
    <w:rsid w:val="00BD7A1A"/>
    <w:rsid w:val="00CB4ACC"/>
    <w:rsid w:val="00FD5E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67F0"/>
  <w15:chartTrackingRefBased/>
  <w15:docId w15:val="{E1A1A574-7FA4-45E1-AA9C-DEFA0A12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5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50F6"/>
  </w:style>
  <w:style w:type="paragraph" w:styleId="Fuzeile">
    <w:name w:val="footer"/>
    <w:basedOn w:val="Standard"/>
    <w:link w:val="FuzeileZchn"/>
    <w:uiPriority w:val="99"/>
    <w:unhideWhenUsed/>
    <w:rsid w:val="004F5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50F6"/>
  </w:style>
  <w:style w:type="table" w:styleId="Tabellenraster">
    <w:name w:val="Table Grid"/>
    <w:basedOn w:val="NormaleTabelle"/>
    <w:uiPriority w:val="39"/>
    <w:rsid w:val="004F5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969C8"/>
    <w:pPr>
      <w:spacing w:before="120" w:after="12" w:line="240" w:lineRule="auto"/>
      <w:ind w:left="720" w:hanging="357"/>
      <w:contextualSpacing/>
    </w:pPr>
    <w:rPr>
      <w:rFonts w:ascii="Arial" w:hAnsi="Arial"/>
    </w:rPr>
  </w:style>
  <w:style w:type="character" w:styleId="Hyperlink">
    <w:name w:val="Hyperlink"/>
    <w:basedOn w:val="Absatz-Standardschriftart"/>
    <w:uiPriority w:val="99"/>
    <w:unhideWhenUsed/>
    <w:rsid w:val="007969C8"/>
    <w:rPr>
      <w:color w:val="0563C1" w:themeColor="hyperlink"/>
      <w:u w:val="single"/>
    </w:rPr>
  </w:style>
  <w:style w:type="character" w:styleId="NichtaufgelsteErwhnung">
    <w:name w:val="Unresolved Mention"/>
    <w:basedOn w:val="Absatz-Standardschriftart"/>
    <w:uiPriority w:val="99"/>
    <w:semiHidden/>
    <w:unhideWhenUsed/>
    <w:rsid w:val="00A56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gets@marburg-biedenkopf.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in-marburg-biedenkopf.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udgets@marburg-biedenkopf.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9936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Debus, Nadine</dc:creator>
  <cp:keywords/>
  <dc:description/>
  <cp:lastModifiedBy>Basting, Anne Dorothea</cp:lastModifiedBy>
  <cp:revision>8</cp:revision>
  <dcterms:created xsi:type="dcterms:W3CDTF">2024-03-25T14:13:00Z</dcterms:created>
  <dcterms:modified xsi:type="dcterms:W3CDTF">2024-03-27T14:11:00Z</dcterms:modified>
</cp:coreProperties>
</file>